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02269A">
              <w:rPr>
                <w:b/>
                <w:sz w:val="22"/>
                <w:lang w:val="ru-RU"/>
              </w:rPr>
              <w:t>19.03.2026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02269A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</w:rPr>
              <w:t>36.7903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Default="0002269A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</w:rPr>
              <w:t>36.7903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02269A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</w:rPr>
              <w:t>36.7903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0671DD" w:rsidRDefault="0002269A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</w:rPr>
              <w:t>496 893.96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1804FA" w:rsidRDefault="0002269A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2269A">
              <w:rPr>
                <w:b/>
                <w:sz w:val="22"/>
                <w:lang w:val="en-US"/>
              </w:rPr>
              <w:t>19.03.2026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02269A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36.7903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403058" w:rsidRPr="00BB0EE0" w:rsidRDefault="0002269A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36.7903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Pr="00BB0EE0" w:rsidRDefault="0002269A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36.7903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:rsidR="00403058" w:rsidRPr="00BB0EE0" w:rsidRDefault="0002269A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496 893.96</w:t>
            </w:r>
            <w:bookmarkEnd w:id="11"/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02269A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9A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269A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137E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94CF2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3DE390-9978-4718-B291-62610104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81B33-6892-4416-A780-73CF4EC3E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2026-03-20T14:58:00Z</dcterms:created>
  <dcterms:modified xsi:type="dcterms:W3CDTF">2026-03-20T14:59:00Z</dcterms:modified>
</cp:coreProperties>
</file>