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6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559"/>
        <w:gridCol w:w="1985"/>
        <w:gridCol w:w="1560"/>
        <w:gridCol w:w="17"/>
      </w:tblGrid>
      <w:tr w:rsidR="00FE6FB5" w:rsidTr="00946FD0">
        <w:tblPrEx>
          <w:tblCellMar>
            <w:top w:w="0" w:type="dxa"/>
            <w:bottom w:w="0" w:type="dxa"/>
          </w:tblCellMar>
        </w:tblPrEx>
        <w:tc>
          <w:tcPr>
            <w:tcW w:w="10367" w:type="dxa"/>
            <w:gridSpan w:val="7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46FD0">
              <w:rPr>
                <w:b/>
                <w:sz w:val="22"/>
                <w:lang w:val="ru-RU"/>
              </w:rPr>
              <w:t>23.07.2026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946FD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946FD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946FD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E733BB" w:rsidRDefault="00946FD0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>
              <w:rPr>
                <w:sz w:val="22"/>
                <w:lang w:val="en-US"/>
              </w:rPr>
              <w:t>41.0600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46FD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en-US"/>
              </w:rPr>
              <w:t>41.0600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Default="00946FD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en-US"/>
              </w:rPr>
              <w:t>41.0600</w:t>
            </w:r>
            <w:r w:rsidR="00E733BB">
              <w:rPr>
                <w:sz w:val="22"/>
                <w:lang w:val="en-US"/>
              </w:rPr>
              <w:t>EUR</w:t>
            </w:r>
            <w:bookmarkStart w:id="4" w:name="_GoBack"/>
            <w:bookmarkEnd w:id="4"/>
          </w:p>
        </w:tc>
        <w:tc>
          <w:tcPr>
            <w:tcW w:w="1985" w:type="dxa"/>
            <w:vMerge w:val="restart"/>
            <w:vAlign w:val="center"/>
          </w:tcPr>
          <w:p w:rsidR="00FE6FB5" w:rsidRPr="00B95415" w:rsidRDefault="00946FD0" w:rsidP="00946FD0">
            <w:pPr>
              <w:ind w:left="-73" w:firstLine="73"/>
              <w:jc w:val="center"/>
              <w:rPr>
                <w:b/>
                <w:sz w:val="22"/>
                <w:lang w:val="bg-BG"/>
              </w:rPr>
            </w:pPr>
            <w:bookmarkStart w:id="5" w:name="NetnaStoinost_FundID_3"/>
            <w:bookmarkEnd w:id="5"/>
            <w:r>
              <w:rPr>
                <w:sz w:val="22"/>
                <w:lang w:val="en-US"/>
              </w:rPr>
              <w:t>26 652 021.42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46FD0" w:rsidP="00FE6FB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3"/>
            <w:bookmarkEnd w:id="6"/>
            <w:r>
              <w:rPr>
                <w:b/>
                <w:sz w:val="22"/>
                <w:lang w:val="bg-BG"/>
              </w:rPr>
              <w:t>649 099.3680</w:t>
            </w:r>
          </w:p>
        </w:tc>
      </w:tr>
      <w:tr w:rsidR="00FE6FB5" w:rsidTr="00946FD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5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946FD0">
        <w:tblPrEx>
          <w:tblCellMar>
            <w:top w:w="0" w:type="dxa"/>
            <w:bottom w:w="0" w:type="dxa"/>
          </w:tblCellMar>
        </w:tblPrEx>
        <w:tc>
          <w:tcPr>
            <w:tcW w:w="10367" w:type="dxa"/>
            <w:gridSpan w:val="7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946FD0">
              <w:rPr>
                <w:b/>
                <w:sz w:val="22"/>
                <w:lang w:val="en-US"/>
              </w:rPr>
              <w:t>23.07.2026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46FD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sz w:val="22"/>
                <w:lang w:val="en-US"/>
              </w:rPr>
              <w:t>41.0600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46FD0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sz w:val="22"/>
                <w:lang w:val="en-US"/>
              </w:rPr>
              <w:t>41.0600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46FD0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sz w:val="22"/>
                <w:lang w:val="en-US"/>
              </w:rPr>
              <w:t>41.0600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46FD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sz w:val="22"/>
                <w:lang w:val="en-US"/>
              </w:rPr>
              <w:t>26 652 021.42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46FD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649 099.3680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 xml:space="preserve">These prices are valid for orders transmitted </w:t>
            </w:r>
            <w:proofErr w:type="gramStart"/>
            <w:r>
              <w:rPr>
                <w:sz w:val="22"/>
                <w:lang w:val="en-US"/>
              </w:rPr>
              <w:t>till</w:t>
            </w:r>
            <w:proofErr w:type="gramEnd"/>
            <w:r>
              <w:rPr>
                <w:sz w:val="22"/>
                <w:lang w:val="en-US"/>
              </w:rPr>
              <w:t xml:space="preserve">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D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46FD0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EC5024-CF4D-4938-811A-0FE83E49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AAAC6-72CE-497A-B86B-B14973A4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2026-07-24T08:50:00Z</dcterms:created>
  <dcterms:modified xsi:type="dcterms:W3CDTF">2026-07-24T08:51:00Z</dcterms:modified>
</cp:coreProperties>
</file>