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D2A1B">
              <w:rPr>
                <w:b/>
                <w:sz w:val="22"/>
                <w:lang w:val="ru-RU"/>
              </w:rPr>
              <w:t>14.05.2026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2D2A1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2D2A1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2D2A1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2D2A1B" w:rsidRDefault="002D2A1B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2D2A1B">
              <w:rPr>
                <w:b/>
                <w:sz w:val="22"/>
                <w:lang w:val="bg-BG"/>
              </w:rPr>
              <w:t>40.5288</w:t>
            </w:r>
            <w:r w:rsidR="00E733BB" w:rsidRPr="002D2A1B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2D2A1B" w:rsidRDefault="002D2A1B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2D2A1B">
              <w:rPr>
                <w:b/>
                <w:sz w:val="22"/>
                <w:lang w:val="bg-BG"/>
              </w:rPr>
              <w:t>40.5288</w:t>
            </w:r>
            <w:r w:rsidR="00E733BB" w:rsidRPr="002D2A1B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2D2A1B" w:rsidRDefault="002D2A1B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2D2A1B">
              <w:rPr>
                <w:b/>
                <w:sz w:val="22"/>
                <w:lang w:val="bg-BG"/>
              </w:rPr>
              <w:t>40.5288</w:t>
            </w:r>
            <w:r w:rsidR="00E733BB" w:rsidRPr="002D2A1B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2D2A1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2D2A1B">
              <w:rPr>
                <w:b/>
                <w:sz w:val="22"/>
                <w:lang w:val="bg-BG"/>
              </w:rPr>
              <w:t>25 809 077.67</w:t>
            </w:r>
            <w:r w:rsidR="00E733BB" w:rsidRPr="002D2A1B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2D2A1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2D2A1B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D2A1B">
              <w:rPr>
                <w:b/>
                <w:sz w:val="22"/>
                <w:lang w:val="en-US"/>
              </w:rPr>
              <w:t>14.05.2026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bookmarkStart w:id="7" w:name="_GoBack" w:colFirst="1" w:colLast="4"/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2D2A1B" w:rsidRDefault="002D2A1B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4"/>
            <w:bookmarkEnd w:id="8"/>
            <w:r w:rsidRPr="002D2A1B">
              <w:rPr>
                <w:b/>
                <w:sz w:val="22"/>
                <w:lang w:val="bg-BG"/>
              </w:rPr>
              <w:t>40.5288</w:t>
            </w:r>
            <w:r w:rsidR="00E733BB" w:rsidRPr="002D2A1B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2D2A1B" w:rsidRDefault="002D2A1B" w:rsidP="00292032">
            <w:pPr>
              <w:jc w:val="center"/>
              <w:rPr>
                <w:b/>
                <w:sz w:val="22"/>
                <w:lang w:val="bg-BG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 w:rsidRPr="002D2A1B">
              <w:rPr>
                <w:b/>
                <w:sz w:val="22"/>
                <w:lang w:val="bg-BG"/>
              </w:rPr>
              <w:t>40.5288</w:t>
            </w:r>
            <w:r w:rsidR="00E733BB" w:rsidRPr="002D2A1B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2D2A1B" w:rsidRDefault="002D2A1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ObratnoIzkupuvane_FundID_3_1"/>
            <w:bookmarkEnd w:id="13"/>
            <w:r w:rsidRPr="002D2A1B">
              <w:rPr>
                <w:b/>
                <w:sz w:val="22"/>
                <w:lang w:val="bg-BG"/>
              </w:rPr>
              <w:t>40.5288</w:t>
            </w:r>
            <w:r w:rsidR="00E733BB" w:rsidRPr="002D2A1B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D2A1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 w:rsidRPr="002D2A1B">
              <w:rPr>
                <w:b/>
                <w:sz w:val="22"/>
                <w:lang w:val="bg-BG"/>
              </w:rPr>
              <w:t>25 809 077.67</w:t>
            </w:r>
            <w:r w:rsidR="00E733BB" w:rsidRPr="002D2A1B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D2A1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bookmarkEnd w:id="7"/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1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2A1B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0CC806-61D8-49C9-8454-AA73D014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4332-2DD1-4A55-AF05-7E6224BA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2026-05-15T12:17:00Z</dcterms:created>
  <dcterms:modified xsi:type="dcterms:W3CDTF">2026-05-15T12:17:00Z</dcterms:modified>
</cp:coreProperties>
</file>