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D2B" w:rsidRPr="00A13E54" w:rsidRDefault="002030D1">
      <w:pPr>
        <w:spacing w:before="39"/>
        <w:ind w:right="112"/>
        <w:jc w:val="right"/>
        <w:rPr>
          <w:rFonts w:ascii="Times New Roman" w:hAnsi="Times New Roman" w:cs="Times New Roman"/>
          <w:b/>
        </w:rPr>
      </w:pPr>
      <w:r w:rsidRPr="00A13E54">
        <w:rPr>
          <w:rFonts w:ascii="Times New Roman" w:hAnsi="Times New Roman" w:cs="Times New Roman"/>
          <w:b/>
        </w:rPr>
        <w:t>Съгласно</w:t>
      </w:r>
      <w:r w:rsidRPr="00A13E54">
        <w:rPr>
          <w:rFonts w:ascii="Times New Roman" w:hAnsi="Times New Roman" w:cs="Times New Roman"/>
          <w:b/>
          <w:spacing w:val="-1"/>
        </w:rPr>
        <w:t xml:space="preserve"> </w:t>
      </w:r>
      <w:r w:rsidRPr="00A13E54">
        <w:rPr>
          <w:rFonts w:ascii="Times New Roman" w:hAnsi="Times New Roman" w:cs="Times New Roman"/>
          <w:b/>
        </w:rPr>
        <w:t>Приложение</w:t>
      </w:r>
      <w:r w:rsidRPr="00A13E54">
        <w:rPr>
          <w:rFonts w:ascii="Times New Roman" w:hAnsi="Times New Roman" w:cs="Times New Roman"/>
          <w:b/>
          <w:spacing w:val="-2"/>
        </w:rPr>
        <w:t xml:space="preserve"> </w:t>
      </w:r>
      <w:r w:rsidRPr="00A13E54">
        <w:rPr>
          <w:rFonts w:ascii="Times New Roman" w:hAnsi="Times New Roman" w:cs="Times New Roman"/>
          <w:b/>
        </w:rPr>
        <w:t>№</w:t>
      </w:r>
      <w:r w:rsidRPr="00A13E54">
        <w:rPr>
          <w:rFonts w:ascii="Times New Roman" w:hAnsi="Times New Roman" w:cs="Times New Roman"/>
          <w:b/>
          <w:spacing w:val="-4"/>
        </w:rPr>
        <w:t xml:space="preserve"> </w:t>
      </w:r>
      <w:r w:rsidRPr="00A13E54">
        <w:rPr>
          <w:rFonts w:ascii="Times New Roman" w:hAnsi="Times New Roman" w:cs="Times New Roman"/>
          <w:b/>
        </w:rPr>
        <w:t>4</w:t>
      </w:r>
    </w:p>
    <w:p w:rsidR="00857D2B" w:rsidRPr="00A13E54" w:rsidRDefault="002030D1">
      <w:pPr>
        <w:spacing w:before="41"/>
        <w:ind w:right="112"/>
        <w:jc w:val="right"/>
        <w:rPr>
          <w:rFonts w:ascii="Times New Roman" w:hAnsi="Times New Roman" w:cs="Times New Roman"/>
          <w:b/>
        </w:rPr>
      </w:pPr>
      <w:r w:rsidRPr="00A13E54">
        <w:rPr>
          <w:rFonts w:ascii="Times New Roman" w:hAnsi="Times New Roman" w:cs="Times New Roman"/>
          <w:b/>
        </w:rPr>
        <w:t>Към</w:t>
      </w:r>
      <w:r w:rsidRPr="00A13E54">
        <w:rPr>
          <w:rFonts w:ascii="Times New Roman" w:hAnsi="Times New Roman" w:cs="Times New Roman"/>
          <w:b/>
          <w:spacing w:val="-1"/>
        </w:rPr>
        <w:t xml:space="preserve"> </w:t>
      </w:r>
      <w:r w:rsidRPr="00A13E54">
        <w:rPr>
          <w:rFonts w:ascii="Times New Roman" w:hAnsi="Times New Roman" w:cs="Times New Roman"/>
          <w:b/>
        </w:rPr>
        <w:t>чл. 12,</w:t>
      </w:r>
      <w:r w:rsidRPr="00A13E54">
        <w:rPr>
          <w:rFonts w:ascii="Times New Roman" w:hAnsi="Times New Roman" w:cs="Times New Roman"/>
          <w:b/>
          <w:spacing w:val="-3"/>
        </w:rPr>
        <w:t xml:space="preserve"> </w:t>
      </w:r>
      <w:r w:rsidRPr="00A13E54">
        <w:rPr>
          <w:rFonts w:ascii="Times New Roman" w:hAnsi="Times New Roman" w:cs="Times New Roman"/>
          <w:b/>
        </w:rPr>
        <w:t>ал. 1, т.1, чл.</w:t>
      </w:r>
      <w:r w:rsidRPr="00A13E54">
        <w:rPr>
          <w:rFonts w:ascii="Times New Roman" w:hAnsi="Times New Roman" w:cs="Times New Roman"/>
          <w:b/>
          <w:spacing w:val="-2"/>
        </w:rPr>
        <w:t xml:space="preserve"> </w:t>
      </w:r>
      <w:r w:rsidRPr="00A13E54">
        <w:rPr>
          <w:rFonts w:ascii="Times New Roman" w:hAnsi="Times New Roman" w:cs="Times New Roman"/>
          <w:b/>
        </w:rPr>
        <w:t>14 от</w:t>
      </w:r>
      <w:r w:rsidRPr="00A13E54">
        <w:rPr>
          <w:rFonts w:ascii="Times New Roman" w:hAnsi="Times New Roman" w:cs="Times New Roman"/>
          <w:b/>
          <w:spacing w:val="-3"/>
        </w:rPr>
        <w:t xml:space="preserve"> </w:t>
      </w:r>
      <w:r w:rsidRPr="00A13E54">
        <w:rPr>
          <w:rFonts w:ascii="Times New Roman" w:hAnsi="Times New Roman" w:cs="Times New Roman"/>
          <w:b/>
        </w:rPr>
        <w:t>Наредба</w:t>
      </w:r>
      <w:r w:rsidRPr="00A13E54">
        <w:rPr>
          <w:rFonts w:ascii="Times New Roman" w:hAnsi="Times New Roman" w:cs="Times New Roman"/>
          <w:b/>
          <w:spacing w:val="-2"/>
        </w:rPr>
        <w:t xml:space="preserve"> </w:t>
      </w:r>
      <w:r w:rsidRPr="00A13E54">
        <w:rPr>
          <w:rFonts w:ascii="Times New Roman" w:hAnsi="Times New Roman" w:cs="Times New Roman"/>
          <w:b/>
        </w:rPr>
        <w:t>№</w:t>
      </w:r>
      <w:r w:rsidRPr="00A13E54">
        <w:rPr>
          <w:rFonts w:ascii="Times New Roman" w:hAnsi="Times New Roman" w:cs="Times New Roman"/>
          <w:b/>
          <w:spacing w:val="-4"/>
        </w:rPr>
        <w:t xml:space="preserve"> </w:t>
      </w:r>
      <w:r w:rsidRPr="00A13E54">
        <w:rPr>
          <w:rFonts w:ascii="Times New Roman" w:hAnsi="Times New Roman" w:cs="Times New Roman"/>
          <w:b/>
        </w:rPr>
        <w:t>2</w:t>
      </w:r>
      <w:r w:rsidRPr="00A13E54">
        <w:rPr>
          <w:rFonts w:ascii="Times New Roman" w:hAnsi="Times New Roman" w:cs="Times New Roman"/>
          <w:b/>
          <w:spacing w:val="-1"/>
        </w:rPr>
        <w:t xml:space="preserve"> </w:t>
      </w:r>
      <w:r w:rsidRPr="00A13E54">
        <w:rPr>
          <w:rFonts w:ascii="Times New Roman" w:hAnsi="Times New Roman" w:cs="Times New Roman"/>
          <w:b/>
        </w:rPr>
        <w:t>от</w:t>
      </w:r>
    </w:p>
    <w:p w:rsidR="00857D2B" w:rsidRPr="00A13E54" w:rsidRDefault="002030D1">
      <w:pPr>
        <w:spacing w:before="39"/>
        <w:ind w:right="114"/>
        <w:jc w:val="right"/>
        <w:rPr>
          <w:rFonts w:ascii="Times New Roman" w:hAnsi="Times New Roman" w:cs="Times New Roman"/>
          <w:b/>
        </w:rPr>
      </w:pPr>
      <w:r w:rsidRPr="00A13E54">
        <w:rPr>
          <w:rFonts w:ascii="Times New Roman" w:hAnsi="Times New Roman" w:cs="Times New Roman"/>
          <w:b/>
        </w:rPr>
        <w:t>09.11.2021</w:t>
      </w:r>
      <w:r w:rsidRPr="00A13E54">
        <w:rPr>
          <w:rFonts w:ascii="Times New Roman" w:hAnsi="Times New Roman" w:cs="Times New Roman"/>
          <w:b/>
          <w:spacing w:val="-8"/>
        </w:rPr>
        <w:t xml:space="preserve"> </w:t>
      </w:r>
      <w:r w:rsidRPr="00A13E54">
        <w:rPr>
          <w:rFonts w:ascii="Times New Roman" w:hAnsi="Times New Roman" w:cs="Times New Roman"/>
          <w:b/>
        </w:rPr>
        <w:t>г.</w:t>
      </w:r>
    </w:p>
    <w:p w:rsidR="00857D2B" w:rsidRPr="00A13E54" w:rsidRDefault="002030D1">
      <w:pPr>
        <w:spacing w:before="41"/>
        <w:ind w:left="1947"/>
        <w:rPr>
          <w:rFonts w:ascii="Times New Roman" w:hAnsi="Times New Roman" w:cs="Times New Roman"/>
          <w:b/>
        </w:rPr>
      </w:pPr>
      <w:r w:rsidRPr="00A13E54">
        <w:rPr>
          <w:rFonts w:ascii="Times New Roman" w:hAnsi="Times New Roman" w:cs="Times New Roman"/>
        </w:rPr>
        <w:t>и</w:t>
      </w:r>
      <w:r w:rsidRPr="00A13E54">
        <w:rPr>
          <w:rFonts w:ascii="Times New Roman" w:hAnsi="Times New Roman" w:cs="Times New Roman"/>
          <w:spacing w:val="-2"/>
        </w:rPr>
        <w:t xml:space="preserve"> </w:t>
      </w:r>
      <w:r w:rsidRPr="00A13E54">
        <w:rPr>
          <w:rFonts w:ascii="Times New Roman" w:hAnsi="Times New Roman" w:cs="Times New Roman"/>
          <w:b/>
        </w:rPr>
        <w:t>РЕГЛАМЕНТ</w:t>
      </w:r>
      <w:r w:rsidRPr="00A13E54">
        <w:rPr>
          <w:rFonts w:ascii="Times New Roman" w:hAnsi="Times New Roman" w:cs="Times New Roman"/>
          <w:b/>
          <w:spacing w:val="-3"/>
        </w:rPr>
        <w:t xml:space="preserve"> </w:t>
      </w:r>
      <w:r w:rsidRPr="00A13E54">
        <w:rPr>
          <w:rFonts w:ascii="Times New Roman" w:hAnsi="Times New Roman" w:cs="Times New Roman"/>
          <w:b/>
        </w:rPr>
        <w:t>(ЕС)</w:t>
      </w:r>
      <w:r w:rsidRPr="00A13E54">
        <w:rPr>
          <w:rFonts w:ascii="Times New Roman" w:hAnsi="Times New Roman" w:cs="Times New Roman"/>
          <w:b/>
          <w:spacing w:val="-5"/>
        </w:rPr>
        <w:t xml:space="preserve"> </w:t>
      </w:r>
      <w:r w:rsidRPr="00A13E54">
        <w:rPr>
          <w:rFonts w:ascii="Times New Roman" w:hAnsi="Times New Roman" w:cs="Times New Roman"/>
          <w:b/>
        </w:rPr>
        <w:t>№</w:t>
      </w:r>
      <w:r w:rsidRPr="00A13E54">
        <w:rPr>
          <w:rFonts w:ascii="Times New Roman" w:hAnsi="Times New Roman" w:cs="Times New Roman"/>
          <w:b/>
          <w:spacing w:val="-2"/>
        </w:rPr>
        <w:t xml:space="preserve"> </w:t>
      </w:r>
      <w:r w:rsidRPr="00A13E54">
        <w:rPr>
          <w:rFonts w:ascii="Times New Roman" w:hAnsi="Times New Roman" w:cs="Times New Roman"/>
          <w:b/>
        </w:rPr>
        <w:t>596/2014</w:t>
      </w:r>
      <w:r w:rsidRPr="00A13E54">
        <w:rPr>
          <w:rFonts w:ascii="Times New Roman" w:hAnsi="Times New Roman" w:cs="Times New Roman"/>
          <w:b/>
          <w:spacing w:val="-2"/>
        </w:rPr>
        <w:t xml:space="preserve"> </w:t>
      </w:r>
      <w:r w:rsidRPr="00A13E54">
        <w:rPr>
          <w:rFonts w:ascii="Times New Roman" w:hAnsi="Times New Roman" w:cs="Times New Roman"/>
          <w:b/>
        </w:rPr>
        <w:t>НА</w:t>
      </w:r>
      <w:r w:rsidRPr="00A13E54">
        <w:rPr>
          <w:rFonts w:ascii="Times New Roman" w:hAnsi="Times New Roman" w:cs="Times New Roman"/>
          <w:b/>
          <w:spacing w:val="-2"/>
        </w:rPr>
        <w:t xml:space="preserve"> </w:t>
      </w:r>
      <w:r w:rsidRPr="00A13E54">
        <w:rPr>
          <w:rFonts w:ascii="Times New Roman" w:hAnsi="Times New Roman" w:cs="Times New Roman"/>
          <w:b/>
        </w:rPr>
        <w:t>ЕВРОПЕЙСКИЯ</w:t>
      </w:r>
      <w:r w:rsidRPr="00A13E54">
        <w:rPr>
          <w:rFonts w:ascii="Times New Roman" w:hAnsi="Times New Roman" w:cs="Times New Roman"/>
          <w:b/>
          <w:spacing w:val="-6"/>
        </w:rPr>
        <w:t xml:space="preserve"> </w:t>
      </w:r>
      <w:r w:rsidRPr="00A13E54">
        <w:rPr>
          <w:rFonts w:ascii="Times New Roman" w:hAnsi="Times New Roman" w:cs="Times New Roman"/>
          <w:b/>
        </w:rPr>
        <w:t>ПАРЛАМЕНТ</w:t>
      </w:r>
      <w:r w:rsidRPr="00A13E54">
        <w:rPr>
          <w:rFonts w:ascii="Times New Roman" w:hAnsi="Times New Roman" w:cs="Times New Roman"/>
          <w:b/>
          <w:spacing w:val="-1"/>
        </w:rPr>
        <w:t xml:space="preserve"> </w:t>
      </w:r>
      <w:r w:rsidRPr="00A13E54">
        <w:rPr>
          <w:rFonts w:ascii="Times New Roman" w:hAnsi="Times New Roman" w:cs="Times New Roman"/>
          <w:b/>
        </w:rPr>
        <w:t>И</w:t>
      </w:r>
      <w:r w:rsidRPr="00A13E54">
        <w:rPr>
          <w:rFonts w:ascii="Times New Roman" w:hAnsi="Times New Roman" w:cs="Times New Roman"/>
          <w:b/>
          <w:spacing w:val="-5"/>
        </w:rPr>
        <w:t xml:space="preserve"> </w:t>
      </w:r>
      <w:r w:rsidRPr="00A13E54">
        <w:rPr>
          <w:rFonts w:ascii="Times New Roman" w:hAnsi="Times New Roman" w:cs="Times New Roman"/>
          <w:b/>
        </w:rPr>
        <w:t>НА</w:t>
      </w:r>
      <w:r w:rsidRPr="00A13E54">
        <w:rPr>
          <w:rFonts w:ascii="Times New Roman" w:hAnsi="Times New Roman" w:cs="Times New Roman"/>
          <w:b/>
          <w:spacing w:val="-4"/>
        </w:rPr>
        <w:t xml:space="preserve"> </w:t>
      </w:r>
      <w:r w:rsidRPr="00A13E54">
        <w:rPr>
          <w:rFonts w:ascii="Times New Roman" w:hAnsi="Times New Roman" w:cs="Times New Roman"/>
          <w:b/>
        </w:rPr>
        <w:t>СЪВЕТА</w:t>
      </w:r>
    </w:p>
    <w:p w:rsidR="00857D2B" w:rsidRPr="00A13E54" w:rsidRDefault="002030D1">
      <w:pPr>
        <w:ind w:right="115"/>
        <w:jc w:val="right"/>
        <w:rPr>
          <w:rFonts w:ascii="Times New Roman" w:hAnsi="Times New Roman" w:cs="Times New Roman"/>
          <w:i/>
        </w:rPr>
      </w:pPr>
      <w:r w:rsidRPr="00A13E54">
        <w:rPr>
          <w:rFonts w:ascii="Times New Roman" w:hAnsi="Times New Roman" w:cs="Times New Roman"/>
          <w:i/>
        </w:rPr>
        <w:t>от</w:t>
      </w:r>
      <w:r w:rsidRPr="00A13E54">
        <w:rPr>
          <w:rFonts w:ascii="Times New Roman" w:hAnsi="Times New Roman" w:cs="Times New Roman"/>
          <w:i/>
          <w:spacing w:val="-3"/>
        </w:rPr>
        <w:t xml:space="preserve"> </w:t>
      </w:r>
      <w:r w:rsidRPr="00A13E54">
        <w:rPr>
          <w:rFonts w:ascii="Times New Roman" w:hAnsi="Times New Roman" w:cs="Times New Roman"/>
          <w:i/>
        </w:rPr>
        <w:t>16</w:t>
      </w:r>
      <w:r w:rsidRPr="00A13E54">
        <w:rPr>
          <w:rFonts w:ascii="Times New Roman" w:hAnsi="Times New Roman" w:cs="Times New Roman"/>
          <w:i/>
          <w:spacing w:val="-2"/>
        </w:rPr>
        <w:t xml:space="preserve"> </w:t>
      </w:r>
      <w:r w:rsidRPr="00A13E54">
        <w:rPr>
          <w:rFonts w:ascii="Times New Roman" w:hAnsi="Times New Roman" w:cs="Times New Roman"/>
          <w:i/>
        </w:rPr>
        <w:t>април</w:t>
      </w:r>
      <w:r w:rsidRPr="00A13E54">
        <w:rPr>
          <w:rFonts w:ascii="Times New Roman" w:hAnsi="Times New Roman" w:cs="Times New Roman"/>
          <w:i/>
          <w:spacing w:val="-4"/>
        </w:rPr>
        <w:t xml:space="preserve"> </w:t>
      </w:r>
      <w:r w:rsidRPr="00A13E54">
        <w:rPr>
          <w:rFonts w:ascii="Times New Roman" w:hAnsi="Times New Roman" w:cs="Times New Roman"/>
          <w:i/>
        </w:rPr>
        <w:t>2014</w:t>
      </w:r>
      <w:r w:rsidRPr="00A13E54">
        <w:rPr>
          <w:rFonts w:ascii="Times New Roman" w:hAnsi="Times New Roman" w:cs="Times New Roman"/>
          <w:i/>
          <w:spacing w:val="-2"/>
        </w:rPr>
        <w:t xml:space="preserve"> </w:t>
      </w:r>
      <w:r w:rsidRPr="00A13E54">
        <w:rPr>
          <w:rFonts w:ascii="Times New Roman" w:hAnsi="Times New Roman" w:cs="Times New Roman"/>
          <w:i/>
        </w:rPr>
        <w:t>година</w:t>
      </w:r>
    </w:p>
    <w:p w:rsidR="00857D2B" w:rsidRPr="00A13E54" w:rsidRDefault="00857D2B">
      <w:pPr>
        <w:pStyle w:val="BodyText"/>
        <w:spacing w:before="7"/>
        <w:ind w:left="0"/>
        <w:jc w:val="left"/>
        <w:rPr>
          <w:rFonts w:ascii="Times New Roman" w:hAnsi="Times New Roman" w:cs="Times New Roman"/>
          <w:i/>
        </w:rPr>
      </w:pPr>
    </w:p>
    <w:p w:rsidR="00961BDA" w:rsidRPr="00A13E54" w:rsidRDefault="00961BDA" w:rsidP="00961BDA">
      <w:pPr>
        <w:ind w:firstLine="720"/>
        <w:jc w:val="both"/>
        <w:rPr>
          <w:rFonts w:ascii="Times New Roman" w:hAnsi="Times New Roman" w:cs="Times New Roman"/>
        </w:rPr>
      </w:pPr>
      <w:r w:rsidRPr="00A13E54">
        <w:rPr>
          <w:rFonts w:ascii="Times New Roman" w:hAnsi="Times New Roman" w:cs="Times New Roman"/>
          <w:lang w:val="ru-RU"/>
        </w:rPr>
        <w:t xml:space="preserve">Съветът на директорите на </w:t>
      </w:r>
      <w:r w:rsidRPr="00A13E54">
        <w:rPr>
          <w:rFonts w:ascii="Times New Roman" w:hAnsi="Times New Roman" w:cs="Times New Roman"/>
        </w:rPr>
        <w:t>“Арома” АД</w:t>
      </w:r>
      <w:r w:rsidRPr="00A13E54">
        <w:rPr>
          <w:rFonts w:ascii="Times New Roman" w:hAnsi="Times New Roman" w:cs="Times New Roman"/>
          <w:lang w:val="ru-RU"/>
        </w:rPr>
        <w:t xml:space="preserve"> уведомява всички настоящи и бъдещи инвеститори, че представената </w:t>
      </w:r>
      <w:r w:rsidRPr="00A13E54">
        <w:rPr>
          <w:rFonts w:ascii="Times New Roman" w:hAnsi="Times New Roman" w:cs="Times New Roman"/>
        </w:rPr>
        <w:t>информация в този документ е изготвена във връзка с изискванията на чл. 12, ал. 1, т. 1  от Наредба № 2 на КФН и представлява Приложение № 4 от горепосочения нормативен акт. В интерес на инвеститорите е да се запознаят с предоставената информация, междинния доклад за дейността на дружеството, както и допълнителната информация, съгласно чл. 12, ал. 1 т. 4 от Наредба № 2 на КФН преди да вземат решение да инвестират в ценните книжа на дружеството.</w:t>
      </w:r>
    </w:p>
    <w:p w:rsidR="00961BDA" w:rsidRPr="00A13E54" w:rsidRDefault="00961BDA" w:rsidP="00961BDA">
      <w:pPr>
        <w:ind w:firstLine="720"/>
        <w:jc w:val="both"/>
        <w:rPr>
          <w:rFonts w:ascii="Times New Roman" w:hAnsi="Times New Roman" w:cs="Times New Roman"/>
        </w:rPr>
      </w:pPr>
    </w:p>
    <w:p w:rsidR="00961BDA" w:rsidRPr="00A13E54" w:rsidRDefault="00961BDA" w:rsidP="00961BDA">
      <w:pPr>
        <w:ind w:firstLine="720"/>
        <w:jc w:val="both"/>
        <w:rPr>
          <w:rFonts w:ascii="Times New Roman" w:hAnsi="Times New Roman" w:cs="Times New Roman"/>
        </w:rPr>
      </w:pPr>
      <w:r w:rsidRPr="00A13E54">
        <w:rPr>
          <w:rFonts w:ascii="Times New Roman" w:hAnsi="Times New Roman" w:cs="Times New Roman"/>
          <w:b/>
          <w:i/>
        </w:rPr>
        <w:t>Във връзка с изискванията на чл. 12, ал. 1, т. 2 от НАРЕДБА № 2 от 09.11.2021 г., с настоящото “Арома” АД</w:t>
      </w:r>
      <w:r w:rsidRPr="00A13E54">
        <w:rPr>
          <w:rFonts w:ascii="Times New Roman" w:hAnsi="Times New Roman" w:cs="Times New Roman"/>
          <w:b/>
          <w:i/>
          <w:lang w:val="ru-RU"/>
        </w:rPr>
        <w:t xml:space="preserve"> уведомява всички настоящи и бъдещи инвеститори, че</w:t>
      </w:r>
      <w:r w:rsidRPr="00A13E54">
        <w:rPr>
          <w:rFonts w:ascii="Times New Roman" w:hAnsi="Times New Roman" w:cs="Times New Roman"/>
          <w:b/>
          <w:i/>
        </w:rPr>
        <w:t xml:space="preserve"> избраната от емитента информационна агенция, чрез която дружеството оповестява публично вътрешната информация е „Инвестор.бг“. По-долу е посочена електронна препратка към избраната информационна агенция, където е публикувана всяка периодична и вътрешна информация от дружеството:</w:t>
      </w:r>
      <w:r w:rsidRPr="00A13E54">
        <w:rPr>
          <w:rFonts w:ascii="Times New Roman" w:hAnsi="Times New Roman" w:cs="Times New Roman"/>
        </w:rPr>
        <w:t xml:space="preserve"> </w:t>
      </w:r>
      <w:hyperlink r:id="rId5" w:history="1">
        <w:r w:rsidRPr="00A13E54">
          <w:rPr>
            <w:rStyle w:val="Hyperlink"/>
            <w:rFonts w:ascii="Times New Roman" w:hAnsi="Times New Roman" w:cs="Times New Roman"/>
          </w:rPr>
          <w:t>https://www.investor.bg/bulletin/index/1/47/0/0/0/1/</w:t>
        </w:r>
      </w:hyperlink>
    </w:p>
    <w:p w:rsidR="00E37CAB" w:rsidRPr="00A13E54" w:rsidRDefault="00E37CAB">
      <w:pPr>
        <w:pStyle w:val="BodyText"/>
        <w:spacing w:before="7"/>
        <w:ind w:left="0"/>
        <w:jc w:val="left"/>
        <w:rPr>
          <w:rFonts w:ascii="Times New Roman" w:hAnsi="Times New Roman" w:cs="Times New Roman"/>
          <w:i/>
        </w:rPr>
      </w:pPr>
    </w:p>
    <w:p w:rsidR="00857D2B" w:rsidRPr="00A13E54" w:rsidRDefault="002030D1">
      <w:pPr>
        <w:ind w:left="1759" w:right="1760"/>
        <w:jc w:val="center"/>
        <w:rPr>
          <w:rFonts w:ascii="Times New Roman" w:hAnsi="Times New Roman" w:cs="Times New Roman"/>
          <w:b/>
        </w:rPr>
      </w:pPr>
      <w:r w:rsidRPr="00A13E54">
        <w:rPr>
          <w:rFonts w:ascii="Times New Roman" w:hAnsi="Times New Roman" w:cs="Times New Roman"/>
          <w:b/>
        </w:rPr>
        <w:t>ИНФОРМАЦИЯ</w:t>
      </w:r>
      <w:r w:rsidRPr="00A13E54">
        <w:rPr>
          <w:rFonts w:ascii="Times New Roman" w:hAnsi="Times New Roman" w:cs="Times New Roman"/>
          <w:b/>
          <w:spacing w:val="-2"/>
        </w:rPr>
        <w:t xml:space="preserve"> </w:t>
      </w:r>
      <w:r w:rsidRPr="00A13E54">
        <w:rPr>
          <w:rFonts w:ascii="Times New Roman" w:hAnsi="Times New Roman" w:cs="Times New Roman"/>
          <w:b/>
        </w:rPr>
        <w:t>ЗА</w:t>
      </w:r>
      <w:r w:rsidRPr="00A13E54">
        <w:rPr>
          <w:rFonts w:ascii="Times New Roman" w:hAnsi="Times New Roman" w:cs="Times New Roman"/>
          <w:b/>
          <w:spacing w:val="-4"/>
        </w:rPr>
        <w:t xml:space="preserve"> </w:t>
      </w:r>
      <w:r w:rsidRPr="00A13E54">
        <w:rPr>
          <w:rFonts w:ascii="Times New Roman" w:hAnsi="Times New Roman" w:cs="Times New Roman"/>
          <w:b/>
        </w:rPr>
        <w:t>ФАКТИТЕ</w:t>
      </w:r>
      <w:r w:rsidRPr="00A13E54">
        <w:rPr>
          <w:rFonts w:ascii="Times New Roman" w:hAnsi="Times New Roman" w:cs="Times New Roman"/>
          <w:b/>
          <w:spacing w:val="-3"/>
        </w:rPr>
        <w:t xml:space="preserve"> </w:t>
      </w:r>
      <w:r w:rsidRPr="00A13E54">
        <w:rPr>
          <w:rFonts w:ascii="Times New Roman" w:hAnsi="Times New Roman" w:cs="Times New Roman"/>
          <w:b/>
        </w:rPr>
        <w:t>И</w:t>
      </w:r>
      <w:r w:rsidRPr="00A13E54">
        <w:rPr>
          <w:rFonts w:ascii="Times New Roman" w:hAnsi="Times New Roman" w:cs="Times New Roman"/>
          <w:b/>
          <w:spacing w:val="-5"/>
        </w:rPr>
        <w:t xml:space="preserve"> </w:t>
      </w:r>
      <w:r w:rsidRPr="00A13E54">
        <w:rPr>
          <w:rFonts w:ascii="Times New Roman" w:hAnsi="Times New Roman" w:cs="Times New Roman"/>
          <w:b/>
        </w:rPr>
        <w:t>ОБСТОЯТЕЛСТВАТА,</w:t>
      </w:r>
    </w:p>
    <w:p w:rsidR="00857D2B" w:rsidRPr="00A13E54" w:rsidRDefault="002030D1">
      <w:pPr>
        <w:spacing w:before="41"/>
        <w:ind w:left="1764" w:right="1760"/>
        <w:jc w:val="center"/>
        <w:rPr>
          <w:rFonts w:ascii="Times New Roman" w:hAnsi="Times New Roman" w:cs="Times New Roman"/>
          <w:b/>
        </w:rPr>
      </w:pPr>
      <w:r w:rsidRPr="00A13E54">
        <w:rPr>
          <w:rFonts w:ascii="Times New Roman" w:hAnsi="Times New Roman" w:cs="Times New Roman"/>
          <w:b/>
        </w:rPr>
        <w:t>НАСТЪПИЛИ</w:t>
      </w:r>
      <w:r w:rsidRPr="00A13E54">
        <w:rPr>
          <w:rFonts w:ascii="Times New Roman" w:hAnsi="Times New Roman" w:cs="Times New Roman"/>
          <w:b/>
          <w:spacing w:val="-3"/>
        </w:rPr>
        <w:t xml:space="preserve"> </w:t>
      </w:r>
      <w:r w:rsidRPr="00A13E54">
        <w:rPr>
          <w:rFonts w:ascii="Times New Roman" w:hAnsi="Times New Roman" w:cs="Times New Roman"/>
          <w:b/>
        </w:rPr>
        <w:t>ПРЕЗ</w:t>
      </w:r>
      <w:r w:rsidRPr="00A13E54">
        <w:rPr>
          <w:rFonts w:ascii="Times New Roman" w:hAnsi="Times New Roman" w:cs="Times New Roman"/>
          <w:b/>
          <w:spacing w:val="-3"/>
        </w:rPr>
        <w:t xml:space="preserve"> </w:t>
      </w:r>
      <w:r w:rsidR="00D05EE4">
        <w:rPr>
          <w:rFonts w:ascii="Times New Roman" w:hAnsi="Times New Roman" w:cs="Times New Roman"/>
          <w:b/>
        </w:rPr>
        <w:t>ЧЕТВЪРТОТО</w:t>
      </w:r>
      <w:r w:rsidRPr="00A13E54">
        <w:rPr>
          <w:rFonts w:ascii="Times New Roman" w:hAnsi="Times New Roman" w:cs="Times New Roman"/>
          <w:b/>
          <w:spacing w:val="-4"/>
        </w:rPr>
        <w:t xml:space="preserve"> </w:t>
      </w:r>
      <w:r w:rsidRPr="00A13E54">
        <w:rPr>
          <w:rFonts w:ascii="Times New Roman" w:hAnsi="Times New Roman" w:cs="Times New Roman"/>
          <w:b/>
        </w:rPr>
        <w:t>ТРИМЕСЕЧИЕ</w:t>
      </w:r>
      <w:r w:rsidRPr="00A13E54">
        <w:rPr>
          <w:rFonts w:ascii="Times New Roman" w:hAnsi="Times New Roman" w:cs="Times New Roman"/>
          <w:b/>
          <w:spacing w:val="-3"/>
        </w:rPr>
        <w:t xml:space="preserve"> </w:t>
      </w:r>
      <w:r w:rsidRPr="00A13E54">
        <w:rPr>
          <w:rFonts w:ascii="Times New Roman" w:hAnsi="Times New Roman" w:cs="Times New Roman"/>
          <w:b/>
        </w:rPr>
        <w:t>НА</w:t>
      </w:r>
      <w:r w:rsidRPr="00A13E54">
        <w:rPr>
          <w:rFonts w:ascii="Times New Roman" w:hAnsi="Times New Roman" w:cs="Times New Roman"/>
          <w:b/>
          <w:spacing w:val="-3"/>
        </w:rPr>
        <w:t xml:space="preserve"> </w:t>
      </w:r>
      <w:r w:rsidR="00C50518">
        <w:rPr>
          <w:rFonts w:ascii="Times New Roman" w:hAnsi="Times New Roman" w:cs="Times New Roman"/>
          <w:b/>
        </w:rPr>
        <w:t>2025</w:t>
      </w:r>
      <w:r w:rsidRPr="00A13E54">
        <w:rPr>
          <w:rFonts w:ascii="Times New Roman" w:hAnsi="Times New Roman" w:cs="Times New Roman"/>
          <w:b/>
          <w:spacing w:val="-1"/>
        </w:rPr>
        <w:t xml:space="preserve"> </w:t>
      </w:r>
      <w:r w:rsidRPr="00A13E54">
        <w:rPr>
          <w:rFonts w:ascii="Times New Roman" w:hAnsi="Times New Roman" w:cs="Times New Roman"/>
          <w:b/>
        </w:rPr>
        <w:t>ГОДИНА</w:t>
      </w:r>
    </w:p>
    <w:p w:rsidR="00857D2B" w:rsidRPr="00A13E54" w:rsidRDefault="002030D1">
      <w:pPr>
        <w:spacing w:before="41"/>
        <w:ind w:left="1764" w:right="1710"/>
        <w:jc w:val="center"/>
        <w:rPr>
          <w:rFonts w:ascii="Times New Roman" w:hAnsi="Times New Roman" w:cs="Times New Roman"/>
          <w:b/>
        </w:rPr>
      </w:pPr>
      <w:r w:rsidRPr="00A13E54">
        <w:rPr>
          <w:rFonts w:ascii="Times New Roman" w:hAnsi="Times New Roman" w:cs="Times New Roman"/>
          <w:b/>
        </w:rPr>
        <w:t>„</w:t>
      </w:r>
      <w:r w:rsidR="00E37CAB" w:rsidRPr="00A13E54">
        <w:rPr>
          <w:rFonts w:ascii="Times New Roman" w:hAnsi="Times New Roman" w:cs="Times New Roman"/>
          <w:b/>
        </w:rPr>
        <w:t>АРО</w:t>
      </w:r>
      <w:r w:rsidRPr="00A13E54">
        <w:rPr>
          <w:rFonts w:ascii="Times New Roman" w:hAnsi="Times New Roman" w:cs="Times New Roman"/>
          <w:b/>
        </w:rPr>
        <w:t>МА“</w:t>
      </w:r>
      <w:r w:rsidRPr="00A13E54">
        <w:rPr>
          <w:rFonts w:ascii="Times New Roman" w:hAnsi="Times New Roman" w:cs="Times New Roman"/>
          <w:b/>
          <w:spacing w:val="-2"/>
        </w:rPr>
        <w:t xml:space="preserve"> </w:t>
      </w:r>
      <w:r w:rsidRPr="00A13E54">
        <w:rPr>
          <w:rFonts w:ascii="Times New Roman" w:hAnsi="Times New Roman" w:cs="Times New Roman"/>
          <w:b/>
        </w:rPr>
        <w:t>АД</w:t>
      </w:r>
    </w:p>
    <w:p w:rsidR="008C6413" w:rsidRPr="00A13E54" w:rsidRDefault="008C6413">
      <w:pPr>
        <w:spacing w:before="41"/>
        <w:ind w:left="1764" w:right="1710"/>
        <w:jc w:val="center"/>
        <w:rPr>
          <w:rFonts w:ascii="Times New Roman" w:hAnsi="Times New Roman" w:cs="Times New Roman"/>
          <w:b/>
        </w:rPr>
      </w:pPr>
    </w:p>
    <w:p w:rsidR="008C6413" w:rsidRPr="00A13E54" w:rsidRDefault="008C6413" w:rsidP="008C6413">
      <w:pPr>
        <w:pStyle w:val="BodyText"/>
        <w:numPr>
          <w:ilvl w:val="0"/>
          <w:numId w:val="2"/>
        </w:numPr>
        <w:spacing w:before="2"/>
        <w:jc w:val="left"/>
        <w:rPr>
          <w:rFonts w:ascii="Times New Roman" w:hAnsi="Times New Roman" w:cs="Times New Roman"/>
          <w:b/>
          <w:color w:val="000000"/>
        </w:rPr>
      </w:pPr>
      <w:r w:rsidRPr="00A13E54">
        <w:rPr>
          <w:rFonts w:ascii="Times New Roman" w:hAnsi="Times New Roman" w:cs="Times New Roman"/>
          <w:b/>
          <w:color w:val="000000"/>
        </w:rPr>
        <w:t>Промяна на лицата, упражняващи контрол върху дружеството.</w:t>
      </w:r>
    </w:p>
    <w:p w:rsidR="008C6413" w:rsidRPr="00A13E54" w:rsidRDefault="008C6413" w:rsidP="008C6413">
      <w:pPr>
        <w:pStyle w:val="BodyText"/>
        <w:spacing w:before="2"/>
        <w:ind w:left="360"/>
        <w:jc w:val="left"/>
        <w:rPr>
          <w:rFonts w:ascii="Times New Roman" w:hAnsi="Times New Roman" w:cs="Times New Roman"/>
          <w:color w:val="000000"/>
        </w:rPr>
      </w:pPr>
      <w:r w:rsidRPr="00A13E54">
        <w:rPr>
          <w:rFonts w:ascii="Times New Roman" w:hAnsi="Times New Roman" w:cs="Times New Roman"/>
          <w:color w:val="000000"/>
        </w:rPr>
        <w:t>Не е налице промяна на лицата, упражняващи контрол върху дружеството.</w:t>
      </w:r>
    </w:p>
    <w:p w:rsidR="008C6413"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2. Откриване на производство по несъстоятелност за дружеството или за негово дъщерно дружество и всички съществени етапи, свързани с производството до обявяване на дружеството в несъстоятелност.</w:t>
      </w:r>
    </w:p>
    <w:p w:rsidR="008C6413" w:rsidRPr="00A13E54" w:rsidRDefault="008C6413" w:rsidP="008C6413">
      <w:pPr>
        <w:pStyle w:val="BodyText"/>
        <w:spacing w:before="2"/>
        <w:ind w:left="360"/>
        <w:jc w:val="left"/>
        <w:rPr>
          <w:rFonts w:ascii="Times New Roman" w:hAnsi="Times New Roman" w:cs="Times New Roman"/>
          <w:color w:val="000000"/>
        </w:rPr>
      </w:pPr>
      <w:r w:rsidRPr="00A13E54">
        <w:rPr>
          <w:rFonts w:ascii="Times New Roman" w:hAnsi="Times New Roman" w:cs="Times New Roman"/>
          <w:color w:val="000000"/>
        </w:rPr>
        <w:t>Няма откриване на производство по несъстоятелност за дружеството или за негово дъщерно дружество.</w:t>
      </w:r>
    </w:p>
    <w:p w:rsidR="008C6413" w:rsidRPr="00A13E54" w:rsidRDefault="008C6413" w:rsidP="008C6413">
      <w:pPr>
        <w:pStyle w:val="BodyText"/>
        <w:spacing w:before="2"/>
        <w:ind w:left="360"/>
        <w:jc w:val="left"/>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3. Сключване или изпълнение на съществени сделки.</w:t>
      </w:r>
    </w:p>
    <w:p w:rsidR="008C6413" w:rsidRPr="00A13E54" w:rsidRDefault="008C6413" w:rsidP="008C6413">
      <w:pPr>
        <w:pStyle w:val="BodyText"/>
        <w:spacing w:before="2"/>
        <w:ind w:left="360"/>
        <w:jc w:val="left"/>
        <w:rPr>
          <w:rFonts w:ascii="Times New Roman" w:hAnsi="Times New Roman" w:cs="Times New Roman"/>
        </w:rPr>
      </w:pPr>
      <w:r w:rsidRPr="00A13E54">
        <w:rPr>
          <w:rFonts w:ascii="Times New Roman" w:hAnsi="Times New Roman" w:cs="Times New Roman"/>
        </w:rPr>
        <w:t>Не е налице сключване</w:t>
      </w:r>
      <w:r w:rsidRPr="00A13E54">
        <w:rPr>
          <w:rFonts w:ascii="Times New Roman" w:hAnsi="Times New Roman" w:cs="Times New Roman"/>
          <w:spacing w:val="-3"/>
        </w:rPr>
        <w:t xml:space="preserve"> </w:t>
      </w:r>
      <w:r w:rsidRPr="00A13E54">
        <w:rPr>
          <w:rFonts w:ascii="Times New Roman" w:hAnsi="Times New Roman" w:cs="Times New Roman"/>
        </w:rPr>
        <w:t>или</w:t>
      </w:r>
      <w:r w:rsidRPr="00A13E54">
        <w:rPr>
          <w:rFonts w:ascii="Times New Roman" w:hAnsi="Times New Roman" w:cs="Times New Roman"/>
          <w:spacing w:val="-2"/>
        </w:rPr>
        <w:t xml:space="preserve"> </w:t>
      </w:r>
      <w:r w:rsidRPr="00A13E54">
        <w:rPr>
          <w:rFonts w:ascii="Times New Roman" w:hAnsi="Times New Roman" w:cs="Times New Roman"/>
        </w:rPr>
        <w:t>изпълнение</w:t>
      </w:r>
      <w:r w:rsidRPr="00A13E54">
        <w:rPr>
          <w:rFonts w:ascii="Times New Roman" w:hAnsi="Times New Roman" w:cs="Times New Roman"/>
          <w:spacing w:val="-3"/>
        </w:rPr>
        <w:t xml:space="preserve"> </w:t>
      </w:r>
      <w:r w:rsidRPr="00A13E54">
        <w:rPr>
          <w:rFonts w:ascii="Times New Roman" w:hAnsi="Times New Roman" w:cs="Times New Roman"/>
        </w:rPr>
        <w:t>на</w:t>
      </w:r>
      <w:r w:rsidRPr="00A13E54">
        <w:rPr>
          <w:rFonts w:ascii="Times New Roman" w:hAnsi="Times New Roman" w:cs="Times New Roman"/>
          <w:spacing w:val="-1"/>
        </w:rPr>
        <w:t xml:space="preserve"> </w:t>
      </w:r>
      <w:r w:rsidRPr="00A13E54">
        <w:rPr>
          <w:rFonts w:ascii="Times New Roman" w:hAnsi="Times New Roman" w:cs="Times New Roman"/>
        </w:rPr>
        <w:t>съществени сделки.</w:t>
      </w:r>
    </w:p>
    <w:p w:rsidR="008C6413"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4. Решение за сключване, прекратяване и разваляне на договор за съвместно предприятие.</w:t>
      </w:r>
    </w:p>
    <w:p w:rsidR="008C6413" w:rsidRPr="00A13E54" w:rsidRDefault="008C6413" w:rsidP="008C6413">
      <w:pPr>
        <w:pStyle w:val="BodyText"/>
        <w:spacing w:before="2"/>
        <w:ind w:left="360"/>
        <w:jc w:val="left"/>
        <w:rPr>
          <w:rFonts w:ascii="Times New Roman" w:hAnsi="Times New Roman" w:cs="Times New Roman"/>
          <w:color w:val="000000"/>
        </w:rPr>
      </w:pPr>
      <w:r w:rsidRPr="00A13E54">
        <w:rPr>
          <w:rFonts w:ascii="Times New Roman" w:hAnsi="Times New Roman" w:cs="Times New Roman"/>
          <w:color w:val="000000"/>
        </w:rPr>
        <w:t>Няма решение за сключване, прекратяване и разваляне на договор за съвместно предприятие.</w:t>
      </w:r>
    </w:p>
    <w:p w:rsidR="008C6413" w:rsidRPr="00A13E54" w:rsidRDefault="008C6413" w:rsidP="008C6413">
      <w:pPr>
        <w:pStyle w:val="BodyText"/>
        <w:spacing w:before="2"/>
        <w:ind w:left="360"/>
        <w:jc w:val="left"/>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5. Промяна на одиторите на дружеството и причини за промяната.</w:t>
      </w:r>
    </w:p>
    <w:p w:rsidR="008C6413" w:rsidRPr="00A13E54" w:rsidRDefault="008C6413" w:rsidP="008C6413">
      <w:pPr>
        <w:pStyle w:val="BodyText"/>
        <w:spacing w:before="2"/>
        <w:ind w:left="360"/>
        <w:jc w:val="left"/>
        <w:rPr>
          <w:rFonts w:ascii="Times New Roman" w:hAnsi="Times New Roman" w:cs="Times New Roman"/>
          <w:color w:val="000000"/>
        </w:rPr>
      </w:pPr>
      <w:r w:rsidRPr="00A13E54">
        <w:rPr>
          <w:rFonts w:ascii="Times New Roman" w:hAnsi="Times New Roman" w:cs="Times New Roman"/>
          <w:color w:val="000000"/>
        </w:rPr>
        <w:t>Не е налице промяна на одиторите на дружеството.</w:t>
      </w:r>
    </w:p>
    <w:p w:rsidR="008C6413"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6.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p>
    <w:p w:rsidR="008C6413" w:rsidRPr="00A13E54" w:rsidRDefault="008C6413" w:rsidP="008C6413">
      <w:pPr>
        <w:pStyle w:val="BodyText"/>
        <w:spacing w:before="2"/>
        <w:ind w:left="360"/>
        <w:rPr>
          <w:rFonts w:ascii="Times New Roman" w:hAnsi="Times New Roman" w:cs="Times New Roman"/>
          <w:color w:val="000000"/>
        </w:rPr>
      </w:pPr>
      <w:r w:rsidRPr="00A13E54">
        <w:rPr>
          <w:rFonts w:ascii="Times New Roman" w:hAnsi="Times New Roman" w:cs="Times New Roman"/>
          <w:color w:val="000000"/>
        </w:rPr>
        <w:t>Не е налице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 малко 10 на сто от собствения капитал на дружеството.</w:t>
      </w:r>
    </w:p>
    <w:p w:rsidR="008C6413"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7. Покупка, продажба или учреден залог на дялови участия в търговски дружества от емитента или негово дъщерно дружество.</w:t>
      </w:r>
    </w:p>
    <w:p w:rsidR="008C6413" w:rsidRPr="00A13E54" w:rsidRDefault="008C6413" w:rsidP="008C6413">
      <w:pPr>
        <w:pStyle w:val="BodyText"/>
        <w:spacing w:before="2"/>
        <w:ind w:left="360"/>
        <w:rPr>
          <w:rFonts w:ascii="Times New Roman" w:hAnsi="Times New Roman" w:cs="Times New Roman"/>
          <w:color w:val="000000"/>
        </w:rPr>
      </w:pPr>
      <w:r w:rsidRPr="00A13E54">
        <w:rPr>
          <w:rFonts w:ascii="Times New Roman" w:hAnsi="Times New Roman" w:cs="Times New Roman"/>
          <w:color w:val="000000"/>
        </w:rPr>
        <w:t>Не са налице покупки, продажби или учредени залози на дялови участия в търговски дружества от емитента или негово дъщерно дружество.</w:t>
      </w:r>
    </w:p>
    <w:p w:rsidR="00857D2B"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 xml:space="preserve">8. </w:t>
      </w:r>
      <w:r w:rsidR="005D371C" w:rsidRPr="00A13E54">
        <w:rPr>
          <w:rFonts w:ascii="Times New Roman" w:hAnsi="Times New Roman" w:cs="Times New Roman"/>
          <w:b/>
          <w:color w:val="000000"/>
        </w:rPr>
        <w:t>Д</w:t>
      </w:r>
      <w:r w:rsidRPr="00A13E54">
        <w:rPr>
          <w:rFonts w:ascii="Times New Roman" w:hAnsi="Times New Roman" w:cs="Times New Roman"/>
          <w:b/>
          <w:color w:val="000000"/>
        </w:rPr>
        <w:t>руги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p>
    <w:p w:rsidR="005D371C" w:rsidRDefault="005D371C" w:rsidP="002376CF">
      <w:pPr>
        <w:pStyle w:val="BodyText"/>
        <w:numPr>
          <w:ilvl w:val="2"/>
          <w:numId w:val="2"/>
        </w:numPr>
        <w:spacing w:before="3"/>
        <w:jc w:val="left"/>
        <w:rPr>
          <w:rFonts w:ascii="Times New Roman" w:hAnsi="Times New Roman" w:cs="Times New Roman"/>
          <w:b/>
        </w:rPr>
      </w:pPr>
      <w:r w:rsidRPr="00A13E54">
        <w:rPr>
          <w:rFonts w:ascii="Times New Roman" w:hAnsi="Times New Roman" w:cs="Times New Roman"/>
          <w:b/>
        </w:rPr>
        <w:t>Обявяване на печалбата на дружеството:</w:t>
      </w:r>
    </w:p>
    <w:p w:rsidR="002376CF" w:rsidRPr="00A13E54" w:rsidRDefault="002376CF" w:rsidP="002376CF">
      <w:pPr>
        <w:pStyle w:val="BodyText"/>
        <w:spacing w:before="3"/>
        <w:ind w:left="1440"/>
        <w:jc w:val="left"/>
        <w:rPr>
          <w:rFonts w:ascii="Times New Roman" w:hAnsi="Times New Roman" w:cs="Times New Roman"/>
          <w:b/>
        </w:rPr>
      </w:pPr>
    </w:p>
    <w:p w:rsidR="002376CF" w:rsidRPr="002376CF" w:rsidRDefault="005D371C" w:rsidP="002376CF">
      <w:pPr>
        <w:pStyle w:val="BodyText"/>
        <w:spacing w:before="3"/>
        <w:rPr>
          <w:rFonts w:ascii="Times New Roman" w:hAnsi="Times New Roman" w:cs="Times New Roman"/>
        </w:rPr>
      </w:pPr>
      <w:r w:rsidRPr="002376CF">
        <w:rPr>
          <w:rFonts w:ascii="Times New Roman" w:hAnsi="Times New Roman" w:cs="Times New Roman"/>
        </w:rPr>
        <w:t>За периода 01.01.202</w:t>
      </w:r>
      <w:r w:rsidR="00C50518" w:rsidRPr="002376CF">
        <w:rPr>
          <w:rFonts w:ascii="Times New Roman" w:hAnsi="Times New Roman" w:cs="Times New Roman"/>
        </w:rPr>
        <w:t>5</w:t>
      </w:r>
      <w:r w:rsidRPr="002376CF">
        <w:rPr>
          <w:rFonts w:ascii="Times New Roman" w:hAnsi="Times New Roman" w:cs="Times New Roman"/>
        </w:rPr>
        <w:t xml:space="preserve"> – </w:t>
      </w:r>
      <w:r w:rsidR="00D05EE4" w:rsidRPr="002376CF">
        <w:rPr>
          <w:rFonts w:ascii="Times New Roman" w:hAnsi="Times New Roman" w:cs="Times New Roman"/>
          <w:lang w:val="en-US"/>
        </w:rPr>
        <w:t>3</w:t>
      </w:r>
      <w:r w:rsidR="00D05EE4" w:rsidRPr="002376CF">
        <w:rPr>
          <w:rFonts w:ascii="Times New Roman" w:hAnsi="Times New Roman" w:cs="Times New Roman"/>
        </w:rPr>
        <w:t>1</w:t>
      </w:r>
      <w:r w:rsidR="00D05EE4" w:rsidRPr="002376CF">
        <w:rPr>
          <w:rFonts w:ascii="Times New Roman" w:hAnsi="Times New Roman" w:cs="Times New Roman"/>
          <w:lang w:val="en-US"/>
        </w:rPr>
        <w:t>.</w:t>
      </w:r>
      <w:r w:rsidR="00D05EE4" w:rsidRPr="002376CF">
        <w:rPr>
          <w:rFonts w:ascii="Times New Roman" w:hAnsi="Times New Roman" w:cs="Times New Roman"/>
        </w:rPr>
        <w:t>12</w:t>
      </w:r>
      <w:r w:rsidR="00D05EE4" w:rsidRPr="002376CF">
        <w:rPr>
          <w:rFonts w:ascii="Times New Roman" w:hAnsi="Times New Roman" w:cs="Times New Roman"/>
          <w:lang w:val="en-US"/>
        </w:rPr>
        <w:t>.202</w:t>
      </w:r>
      <w:r w:rsidR="00D05EE4" w:rsidRPr="002376CF">
        <w:rPr>
          <w:rFonts w:ascii="Times New Roman" w:hAnsi="Times New Roman" w:cs="Times New Roman"/>
        </w:rPr>
        <w:t>5</w:t>
      </w:r>
      <w:r w:rsidR="00D05EE4" w:rsidRPr="002376CF">
        <w:rPr>
          <w:rFonts w:ascii="Times New Roman" w:hAnsi="Times New Roman" w:cs="Times New Roman"/>
          <w:lang w:val="en-US"/>
        </w:rPr>
        <w:t xml:space="preserve"> </w:t>
      </w:r>
      <w:r w:rsidRPr="002376CF">
        <w:rPr>
          <w:rFonts w:ascii="Times New Roman" w:hAnsi="Times New Roman" w:cs="Times New Roman"/>
        </w:rPr>
        <w:t xml:space="preserve">г. “Арома” АД, гр. София отчита печалба </w:t>
      </w:r>
      <w:r w:rsidR="002A1B7D" w:rsidRPr="002376CF">
        <w:rPr>
          <w:rFonts w:ascii="Times New Roman" w:hAnsi="Times New Roman" w:cs="Times New Roman"/>
        </w:rPr>
        <w:t>преди</w:t>
      </w:r>
      <w:r w:rsidRPr="002376CF">
        <w:rPr>
          <w:rFonts w:ascii="Times New Roman" w:hAnsi="Times New Roman" w:cs="Times New Roman"/>
        </w:rPr>
        <w:t xml:space="preserve"> данъци в размер на</w:t>
      </w:r>
      <w:r w:rsidRPr="002376CF">
        <w:rPr>
          <w:rFonts w:ascii="Times New Roman" w:hAnsi="Times New Roman" w:cs="Times New Roman"/>
          <w:lang w:val="en-US"/>
        </w:rPr>
        <w:t xml:space="preserve"> </w:t>
      </w:r>
      <w:r w:rsidR="002376CF" w:rsidRPr="002376CF">
        <w:rPr>
          <w:rFonts w:ascii="Times New Roman" w:hAnsi="Times New Roman" w:cs="Times New Roman"/>
        </w:rPr>
        <w:t>1 484</w:t>
      </w:r>
      <w:r w:rsidR="008319BC" w:rsidRPr="002376CF">
        <w:rPr>
          <w:rFonts w:ascii="Times New Roman" w:hAnsi="Times New Roman" w:cs="Times New Roman"/>
        </w:rPr>
        <w:t xml:space="preserve"> </w:t>
      </w:r>
      <w:r w:rsidRPr="002376CF">
        <w:rPr>
          <w:rFonts w:ascii="Times New Roman" w:hAnsi="Times New Roman" w:cs="Times New Roman"/>
        </w:rPr>
        <w:t>хил.</w:t>
      </w:r>
      <w:r w:rsidR="00112389" w:rsidRPr="002376CF">
        <w:rPr>
          <w:rFonts w:ascii="Times New Roman" w:hAnsi="Times New Roman" w:cs="Times New Roman"/>
          <w:lang w:val="en-GB"/>
        </w:rPr>
        <w:t xml:space="preserve"> </w:t>
      </w:r>
      <w:r w:rsidRPr="002376CF">
        <w:rPr>
          <w:rFonts w:ascii="Times New Roman" w:hAnsi="Times New Roman" w:cs="Times New Roman"/>
        </w:rPr>
        <w:t xml:space="preserve">лв, съгласно междинен счетоводен отчет към </w:t>
      </w:r>
      <w:r w:rsidR="005C783C" w:rsidRPr="002376CF">
        <w:rPr>
          <w:rFonts w:ascii="Times New Roman" w:hAnsi="Times New Roman" w:cs="Times New Roman"/>
          <w:lang w:val="en-GB"/>
        </w:rPr>
        <w:t>I</w:t>
      </w:r>
      <w:r w:rsidR="00D05EE4" w:rsidRPr="002376CF">
        <w:rPr>
          <w:rFonts w:ascii="Times New Roman" w:hAnsi="Times New Roman" w:cs="Times New Roman"/>
          <w:lang w:val="en-US"/>
        </w:rPr>
        <w:t>V</w:t>
      </w:r>
      <w:r w:rsidRPr="002376CF">
        <w:rPr>
          <w:rFonts w:ascii="Times New Roman" w:hAnsi="Times New Roman" w:cs="Times New Roman"/>
        </w:rPr>
        <w:t xml:space="preserve"> тримесечие.</w:t>
      </w:r>
      <w:r w:rsidR="002376CF" w:rsidRPr="002376CF">
        <w:t xml:space="preserve"> </w:t>
      </w:r>
    </w:p>
    <w:p w:rsidR="008B3B24" w:rsidRDefault="008B3B24" w:rsidP="008B3B24">
      <w:pPr>
        <w:pStyle w:val="BodyText"/>
        <w:spacing w:before="3"/>
        <w:ind w:firstLine="602"/>
        <w:rPr>
          <w:rFonts w:ascii="Times New Roman" w:hAnsi="Times New Roman" w:cs="Times New Roman"/>
          <w:b/>
        </w:rPr>
      </w:pPr>
    </w:p>
    <w:p w:rsidR="005D371C" w:rsidRPr="00A13E54" w:rsidRDefault="005D371C" w:rsidP="00224411">
      <w:pPr>
        <w:pStyle w:val="BodyText"/>
        <w:spacing w:before="3"/>
        <w:ind w:firstLine="602"/>
        <w:rPr>
          <w:rFonts w:ascii="Times New Roman" w:hAnsi="Times New Roman" w:cs="Times New Roman"/>
          <w:lang w:val="ru-RU"/>
        </w:rPr>
      </w:pPr>
      <w:bookmarkStart w:id="0" w:name="_GoBack"/>
      <w:bookmarkEnd w:id="0"/>
      <w:r w:rsidRPr="00A13E54">
        <w:rPr>
          <w:rFonts w:ascii="Times New Roman" w:hAnsi="Times New Roman" w:cs="Times New Roman"/>
          <w:lang w:val="ru-RU"/>
        </w:rPr>
        <w:t xml:space="preserve">През </w:t>
      </w:r>
      <w:r w:rsidR="00D05EE4">
        <w:rPr>
          <w:rFonts w:ascii="Times New Roman" w:hAnsi="Times New Roman" w:cs="Times New Roman"/>
        </w:rPr>
        <w:t>четвъртото</w:t>
      </w:r>
      <w:r w:rsidRPr="00A13E54">
        <w:rPr>
          <w:rFonts w:ascii="Times New Roman" w:hAnsi="Times New Roman" w:cs="Times New Roman"/>
        </w:rPr>
        <w:t xml:space="preserve"> </w:t>
      </w:r>
      <w:r w:rsidRPr="00A13E54">
        <w:rPr>
          <w:rFonts w:ascii="Times New Roman" w:hAnsi="Times New Roman" w:cs="Times New Roman"/>
          <w:lang w:val="ru-RU"/>
        </w:rPr>
        <w:t>тримесечие на 202</w:t>
      </w:r>
      <w:r w:rsidR="00C50518">
        <w:rPr>
          <w:rFonts w:ascii="Times New Roman" w:hAnsi="Times New Roman" w:cs="Times New Roman"/>
          <w:lang w:val="ru-RU"/>
        </w:rPr>
        <w:t>5</w:t>
      </w:r>
      <w:r w:rsidRPr="00A13E54">
        <w:rPr>
          <w:rFonts w:ascii="Times New Roman" w:hAnsi="Times New Roman" w:cs="Times New Roman"/>
          <w:lang w:val="ru-RU"/>
        </w:rPr>
        <w:t xml:space="preserve"> г. не са настъпили </w:t>
      </w:r>
      <w:r w:rsidRPr="00A13E54">
        <w:rPr>
          <w:rFonts w:ascii="Times New Roman" w:hAnsi="Times New Roman" w:cs="Times New Roman"/>
        </w:rPr>
        <w:t xml:space="preserve">други </w:t>
      </w:r>
      <w:r w:rsidRPr="00A13E54">
        <w:rPr>
          <w:rFonts w:ascii="Times New Roman" w:hAnsi="Times New Roman" w:cs="Times New Roman"/>
          <w:lang w:val="ru-RU"/>
        </w:rPr>
        <w:t xml:space="preserve">обстоятелства по смисъла на Приложение 4, т. 1.8. от </w:t>
      </w:r>
      <w:r w:rsidRPr="00A13E54">
        <w:rPr>
          <w:rFonts w:ascii="Times New Roman" w:hAnsi="Times New Roman" w:cs="Times New Roman"/>
          <w:lang w:val="en-US"/>
        </w:rPr>
        <w:t xml:space="preserve">НАРЕДБА № 2 </w:t>
      </w:r>
      <w:r w:rsidRPr="00A13E54">
        <w:rPr>
          <w:rFonts w:ascii="Times New Roman" w:hAnsi="Times New Roman" w:cs="Times New Roman"/>
        </w:rPr>
        <w:t>от</w:t>
      </w:r>
      <w:r w:rsidRPr="00A13E54">
        <w:rPr>
          <w:rFonts w:ascii="Times New Roman" w:hAnsi="Times New Roman" w:cs="Times New Roman"/>
          <w:lang w:val="en-US"/>
        </w:rPr>
        <w:t xml:space="preserve"> </w:t>
      </w:r>
      <w:r w:rsidRPr="00A13E54">
        <w:rPr>
          <w:rFonts w:ascii="Times New Roman" w:hAnsi="Times New Roman" w:cs="Times New Roman"/>
        </w:rPr>
        <w:t>09</w:t>
      </w:r>
      <w:r w:rsidRPr="00A13E54">
        <w:rPr>
          <w:rFonts w:ascii="Times New Roman" w:hAnsi="Times New Roman" w:cs="Times New Roman"/>
          <w:lang w:val="en-US"/>
        </w:rPr>
        <w:t>.</w:t>
      </w:r>
      <w:r w:rsidRPr="00A13E54">
        <w:rPr>
          <w:rFonts w:ascii="Times New Roman" w:hAnsi="Times New Roman" w:cs="Times New Roman"/>
        </w:rPr>
        <w:t>11</w:t>
      </w:r>
      <w:r w:rsidRPr="00A13E54">
        <w:rPr>
          <w:rFonts w:ascii="Times New Roman" w:hAnsi="Times New Roman" w:cs="Times New Roman"/>
          <w:lang w:val="en-US"/>
        </w:rPr>
        <w:t>.20</w:t>
      </w:r>
      <w:r w:rsidRPr="00A13E54">
        <w:rPr>
          <w:rFonts w:ascii="Times New Roman" w:hAnsi="Times New Roman" w:cs="Times New Roman"/>
        </w:rPr>
        <w:t>21</w:t>
      </w:r>
      <w:r w:rsidRPr="00A13E54">
        <w:rPr>
          <w:rFonts w:ascii="Times New Roman" w:hAnsi="Times New Roman" w:cs="Times New Roman"/>
          <w:lang w:val="en-US"/>
        </w:rPr>
        <w:t xml:space="preserve"> г. за </w:t>
      </w:r>
      <w:r w:rsidRPr="00A13E54">
        <w:rPr>
          <w:rFonts w:ascii="Times New Roman" w:hAnsi="Times New Roman" w:cs="Times New Roman"/>
        </w:rPr>
        <w:t>проспектите</w:t>
      </w:r>
      <w:r w:rsidRPr="00A13E54">
        <w:rPr>
          <w:rFonts w:ascii="Times New Roman" w:hAnsi="Times New Roman" w:cs="Times New Roman"/>
          <w:lang w:val="en-US"/>
        </w:rPr>
        <w:t xml:space="preserve"> </w:t>
      </w:r>
      <w:r w:rsidRPr="00A13E54">
        <w:rPr>
          <w:rFonts w:ascii="Times New Roman" w:hAnsi="Times New Roman" w:cs="Times New Roman"/>
        </w:rPr>
        <w:t>при</w:t>
      </w:r>
      <w:r w:rsidRPr="00A13E54">
        <w:rPr>
          <w:rFonts w:ascii="Times New Roman" w:hAnsi="Times New Roman" w:cs="Times New Roman"/>
          <w:lang w:val="en-US"/>
        </w:rPr>
        <w:t xml:space="preserve"> </w:t>
      </w:r>
      <w:r w:rsidRPr="00A13E54">
        <w:rPr>
          <w:rFonts w:ascii="Times New Roman" w:hAnsi="Times New Roman" w:cs="Times New Roman"/>
        </w:rPr>
        <w:t>публично</w:t>
      </w:r>
      <w:r w:rsidRPr="00A13E54">
        <w:rPr>
          <w:rFonts w:ascii="Times New Roman" w:hAnsi="Times New Roman" w:cs="Times New Roman"/>
          <w:lang w:val="en-US"/>
        </w:rPr>
        <w:t xml:space="preserve"> </w:t>
      </w:r>
      <w:r w:rsidRPr="00A13E54">
        <w:rPr>
          <w:rFonts w:ascii="Times New Roman" w:hAnsi="Times New Roman" w:cs="Times New Roman"/>
        </w:rPr>
        <w:t>предлагане</w:t>
      </w:r>
      <w:r w:rsidRPr="00A13E54">
        <w:rPr>
          <w:rFonts w:ascii="Times New Roman" w:hAnsi="Times New Roman" w:cs="Times New Roman"/>
          <w:lang w:val="en-US"/>
        </w:rPr>
        <w:t xml:space="preserve"> и </w:t>
      </w:r>
      <w:r w:rsidRPr="00A13E54">
        <w:rPr>
          <w:rFonts w:ascii="Times New Roman" w:hAnsi="Times New Roman" w:cs="Times New Roman"/>
          <w:lang w:val="ru-RU"/>
        </w:rPr>
        <w:t>допускане до търговия на регулиран пазар на ценни книжа и за разкриването на информация.</w:t>
      </w:r>
    </w:p>
    <w:p w:rsidR="00857D2B" w:rsidRPr="00A13E54" w:rsidRDefault="00857D2B">
      <w:pPr>
        <w:pStyle w:val="BodyText"/>
        <w:spacing w:before="3"/>
        <w:ind w:left="0"/>
        <w:jc w:val="left"/>
        <w:rPr>
          <w:rFonts w:ascii="Times New Roman" w:hAnsi="Times New Roman" w:cs="Times New Roman"/>
        </w:rPr>
      </w:pPr>
    </w:p>
    <w:p w:rsidR="008C6413" w:rsidRPr="00A13E54" w:rsidRDefault="008C6413">
      <w:pPr>
        <w:pStyle w:val="BodyText"/>
        <w:spacing w:line="278" w:lineRule="auto"/>
        <w:ind w:right="109" w:firstLine="707"/>
        <w:rPr>
          <w:rFonts w:ascii="Times New Roman" w:hAnsi="Times New Roman" w:cs="Times New Roman"/>
        </w:rPr>
      </w:pPr>
    </w:p>
    <w:p w:rsidR="008C6413" w:rsidRPr="00A13E54" w:rsidRDefault="008C6413" w:rsidP="008C6413">
      <w:pPr>
        <w:widowControl/>
        <w:autoSpaceDE/>
        <w:autoSpaceDN/>
        <w:spacing w:before="240"/>
        <w:ind w:firstLine="720"/>
        <w:jc w:val="right"/>
        <w:rPr>
          <w:rFonts w:ascii="Times New Roman" w:eastAsia="Times New Roman" w:hAnsi="Times New Roman" w:cs="Times New Roman"/>
          <w:b/>
          <w:i/>
          <w:lang w:val="en-US" w:eastAsia="bg-BG"/>
        </w:rPr>
      </w:pPr>
      <w:r w:rsidRPr="00A13E54">
        <w:rPr>
          <w:rFonts w:ascii="Times New Roman" w:eastAsia="Times New Roman" w:hAnsi="Times New Roman" w:cs="Times New Roman"/>
          <w:b/>
          <w:i/>
          <w:lang w:eastAsia="bg-BG"/>
        </w:rPr>
        <w:t>Димитър Луканов Луканов</w:t>
      </w:r>
    </w:p>
    <w:p w:rsidR="008C6413" w:rsidRPr="00A13E54" w:rsidRDefault="008C6413" w:rsidP="005D371C">
      <w:pPr>
        <w:widowControl/>
        <w:autoSpaceDE/>
        <w:autoSpaceDN/>
        <w:spacing w:before="240"/>
        <w:ind w:firstLine="720"/>
        <w:jc w:val="right"/>
        <w:rPr>
          <w:rFonts w:ascii="Times New Roman" w:eastAsia="Times New Roman" w:hAnsi="Times New Roman" w:cs="Times New Roman"/>
          <w:b/>
          <w:i/>
          <w:lang w:eastAsia="bg-BG"/>
        </w:rPr>
      </w:pPr>
      <w:r w:rsidRPr="00A13E54">
        <w:rPr>
          <w:rFonts w:ascii="Times New Roman" w:eastAsia="Times New Roman" w:hAnsi="Times New Roman" w:cs="Times New Roman"/>
          <w:b/>
          <w:i/>
          <w:lang w:val="en-US" w:eastAsia="bg-BG"/>
        </w:rPr>
        <w:t>(Изпълнителен Директор)</w:t>
      </w:r>
    </w:p>
    <w:sectPr w:rsidR="008C6413" w:rsidRPr="00A13E54" w:rsidSect="00A13E54">
      <w:type w:val="continuous"/>
      <w:pgSz w:w="11910" w:h="16840"/>
      <w:pgMar w:top="1247" w:right="1298" w:bottom="1134" w:left="12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A1F97"/>
    <w:multiLevelType w:val="multilevel"/>
    <w:tmpl w:val="353CBF10"/>
    <w:lvl w:ilvl="0">
      <w:start w:val="1"/>
      <w:numFmt w:val="decimal"/>
      <w:lvlText w:val="%1."/>
      <w:lvlJc w:val="left"/>
      <w:pPr>
        <w:ind w:left="720" w:hanging="360"/>
      </w:pPr>
      <w:rPr>
        <w:rFonts w:hint="default"/>
      </w:rPr>
    </w:lvl>
    <w:lvl w:ilvl="1">
      <w:start w:val="8"/>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 w15:restartNumberingAfterBreak="0">
    <w:nsid w:val="64C47BB7"/>
    <w:multiLevelType w:val="multilevel"/>
    <w:tmpl w:val="8110EAD8"/>
    <w:lvl w:ilvl="0">
      <w:start w:val="1"/>
      <w:numFmt w:val="decimal"/>
      <w:lvlText w:val="%1"/>
      <w:lvlJc w:val="left"/>
      <w:pPr>
        <w:ind w:left="505" w:hanging="387"/>
        <w:jc w:val="left"/>
      </w:pPr>
      <w:rPr>
        <w:rFonts w:hint="default"/>
        <w:lang w:val="bg-BG" w:eastAsia="en-US" w:bidi="ar-SA"/>
      </w:rPr>
    </w:lvl>
    <w:lvl w:ilvl="1">
      <w:start w:val="1"/>
      <w:numFmt w:val="decimal"/>
      <w:lvlText w:val="%1.%2."/>
      <w:lvlJc w:val="left"/>
      <w:pPr>
        <w:ind w:left="505" w:hanging="387"/>
        <w:jc w:val="left"/>
      </w:pPr>
      <w:rPr>
        <w:rFonts w:ascii="Calibri" w:eastAsia="Calibri" w:hAnsi="Calibri" w:cs="Calibri" w:hint="default"/>
        <w:spacing w:val="-1"/>
        <w:w w:val="100"/>
        <w:sz w:val="22"/>
        <w:szCs w:val="22"/>
        <w:lang w:val="bg-BG" w:eastAsia="en-US" w:bidi="ar-SA"/>
      </w:rPr>
    </w:lvl>
    <w:lvl w:ilvl="2">
      <w:numFmt w:val="bullet"/>
      <w:lvlText w:val="•"/>
      <w:lvlJc w:val="left"/>
      <w:pPr>
        <w:ind w:left="2261" w:hanging="387"/>
      </w:pPr>
      <w:rPr>
        <w:rFonts w:hint="default"/>
        <w:lang w:val="bg-BG" w:eastAsia="en-US" w:bidi="ar-SA"/>
      </w:rPr>
    </w:lvl>
    <w:lvl w:ilvl="3">
      <w:numFmt w:val="bullet"/>
      <w:lvlText w:val="•"/>
      <w:lvlJc w:val="left"/>
      <w:pPr>
        <w:ind w:left="3141" w:hanging="387"/>
      </w:pPr>
      <w:rPr>
        <w:rFonts w:hint="default"/>
        <w:lang w:val="bg-BG" w:eastAsia="en-US" w:bidi="ar-SA"/>
      </w:rPr>
    </w:lvl>
    <w:lvl w:ilvl="4">
      <w:numFmt w:val="bullet"/>
      <w:lvlText w:val="•"/>
      <w:lvlJc w:val="left"/>
      <w:pPr>
        <w:ind w:left="4022" w:hanging="387"/>
      </w:pPr>
      <w:rPr>
        <w:rFonts w:hint="default"/>
        <w:lang w:val="bg-BG" w:eastAsia="en-US" w:bidi="ar-SA"/>
      </w:rPr>
    </w:lvl>
    <w:lvl w:ilvl="5">
      <w:numFmt w:val="bullet"/>
      <w:lvlText w:val="•"/>
      <w:lvlJc w:val="left"/>
      <w:pPr>
        <w:ind w:left="4903" w:hanging="387"/>
      </w:pPr>
      <w:rPr>
        <w:rFonts w:hint="default"/>
        <w:lang w:val="bg-BG" w:eastAsia="en-US" w:bidi="ar-SA"/>
      </w:rPr>
    </w:lvl>
    <w:lvl w:ilvl="6">
      <w:numFmt w:val="bullet"/>
      <w:lvlText w:val="•"/>
      <w:lvlJc w:val="left"/>
      <w:pPr>
        <w:ind w:left="5783" w:hanging="387"/>
      </w:pPr>
      <w:rPr>
        <w:rFonts w:hint="default"/>
        <w:lang w:val="bg-BG" w:eastAsia="en-US" w:bidi="ar-SA"/>
      </w:rPr>
    </w:lvl>
    <w:lvl w:ilvl="7">
      <w:numFmt w:val="bullet"/>
      <w:lvlText w:val="•"/>
      <w:lvlJc w:val="left"/>
      <w:pPr>
        <w:ind w:left="6664" w:hanging="387"/>
      </w:pPr>
      <w:rPr>
        <w:rFonts w:hint="default"/>
        <w:lang w:val="bg-BG" w:eastAsia="en-US" w:bidi="ar-SA"/>
      </w:rPr>
    </w:lvl>
    <w:lvl w:ilvl="8">
      <w:numFmt w:val="bullet"/>
      <w:lvlText w:val="•"/>
      <w:lvlJc w:val="left"/>
      <w:pPr>
        <w:ind w:left="7545" w:hanging="387"/>
      </w:pPr>
      <w:rPr>
        <w:rFonts w:hint="default"/>
        <w:lang w:val="bg-BG"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D2B"/>
    <w:rsid w:val="00090DB9"/>
    <w:rsid w:val="00112389"/>
    <w:rsid w:val="00177566"/>
    <w:rsid w:val="0020087B"/>
    <w:rsid w:val="002030D1"/>
    <w:rsid w:val="00224411"/>
    <w:rsid w:val="002376CF"/>
    <w:rsid w:val="00270B32"/>
    <w:rsid w:val="002A1B7D"/>
    <w:rsid w:val="0035039B"/>
    <w:rsid w:val="003D2670"/>
    <w:rsid w:val="004805E6"/>
    <w:rsid w:val="00597ACF"/>
    <w:rsid w:val="005C783C"/>
    <w:rsid w:val="005D371C"/>
    <w:rsid w:val="005F132F"/>
    <w:rsid w:val="006B15AB"/>
    <w:rsid w:val="00744FB6"/>
    <w:rsid w:val="007678FD"/>
    <w:rsid w:val="007A02B5"/>
    <w:rsid w:val="008319BC"/>
    <w:rsid w:val="00857D2B"/>
    <w:rsid w:val="008B3B24"/>
    <w:rsid w:val="008C6413"/>
    <w:rsid w:val="009269BA"/>
    <w:rsid w:val="00961BDA"/>
    <w:rsid w:val="00A13E54"/>
    <w:rsid w:val="00A34C59"/>
    <w:rsid w:val="00AF1936"/>
    <w:rsid w:val="00C50518"/>
    <w:rsid w:val="00D05EE4"/>
    <w:rsid w:val="00DA59F4"/>
    <w:rsid w:val="00E32690"/>
    <w:rsid w:val="00E37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4A794C-23FB-45FE-A39B-1CD02DCF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
      <w:jc w:val="both"/>
    </w:pPr>
  </w:style>
  <w:style w:type="paragraph" w:styleId="ListParagraph">
    <w:name w:val="List Paragraph"/>
    <w:basedOn w:val="Normal"/>
    <w:uiPriority w:val="1"/>
    <w:qFormat/>
    <w:pPr>
      <w:ind w:left="118"/>
      <w:jc w:val="both"/>
    </w:pPr>
  </w:style>
  <w:style w:type="paragraph" w:customStyle="1" w:styleId="TableParagraph">
    <w:name w:val="Table Paragraph"/>
    <w:basedOn w:val="Normal"/>
    <w:uiPriority w:val="1"/>
    <w:qFormat/>
  </w:style>
  <w:style w:type="character" w:styleId="Hyperlink">
    <w:name w:val="Hyperlink"/>
    <w:uiPriority w:val="99"/>
    <w:unhideWhenUsed/>
    <w:rsid w:val="00961BDA"/>
    <w:rPr>
      <w:color w:val="0000FF"/>
      <w:u w:val="single"/>
    </w:rPr>
  </w:style>
  <w:style w:type="character" w:customStyle="1" w:styleId="BodyTextChar">
    <w:name w:val="Body Text Char"/>
    <w:basedOn w:val="DefaultParagraphFont"/>
    <w:link w:val="BodyText"/>
    <w:uiPriority w:val="1"/>
    <w:rsid w:val="008B3B24"/>
    <w:rPr>
      <w:rFonts w:ascii="Calibri" w:eastAsia="Calibri" w:hAnsi="Calibri" w:cs="Calibri"/>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vestor.bg/bulletin/index/1/47/0/0/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ВЪТРЕШНА ИНФОРМАЦИЯ, СЪГЛАСНО ПРИЛОЖЕНИЕ № 9 КЪМ ЧЛ</vt:lpstr>
    </vt:vector>
  </TitlesOfParts>
  <Company/>
  <LinksUpToDate>false</LinksUpToDate>
  <CharactersWithSpaces>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ВЪТРЕШНА ИНФОРМАЦИЯ, СЪГЛАСНО ПРИЛОЖЕНИЕ № 9 КЪМ ЧЛ</dc:title>
  <dc:creator>ir@sopharma.bg</dc:creator>
  <cp:lastModifiedBy>Petya Arabadzhieva</cp:lastModifiedBy>
  <cp:revision>4</cp:revision>
  <dcterms:created xsi:type="dcterms:W3CDTF">2026-01-13T13:21:00Z</dcterms:created>
  <dcterms:modified xsi:type="dcterms:W3CDTF">2026-01-30T08:19:00Z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Microsoft® Word 2016</vt:lpwstr>
  </property>
  <property fmtid="{D5CDD505-2E9C-101B-9397-08002B2CF9AE}" pid="4" name="LastSaved">
    <vt:filetime>2024-04-10T00:00:00Z</vt:filetime>
  </property>
</Properties>
</file>