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E497F">
              <w:rPr>
                <w:b/>
                <w:sz w:val="22"/>
                <w:lang w:val="ru-RU"/>
              </w:rPr>
              <w:t>16.06.2026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E733BB" w:rsidRDefault="009E497F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>
              <w:rPr>
                <w:sz w:val="22"/>
                <w:lang w:val="en-US"/>
              </w:rPr>
              <w:t>40.8809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E497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en-US"/>
              </w:rPr>
              <w:t>40.8809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E497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en-US"/>
              </w:rPr>
              <w:t>40.8809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E497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en-US"/>
              </w:rPr>
              <w:t>26 033 295.90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E497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E497F">
              <w:rPr>
                <w:b/>
                <w:sz w:val="22"/>
                <w:lang w:val="en-US"/>
              </w:rPr>
              <w:t>16.06.2026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E497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sz w:val="22"/>
                <w:lang w:val="en-US"/>
              </w:rPr>
              <w:t>40.8809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E497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sz w:val="22"/>
                <w:lang w:val="en-US"/>
              </w:rPr>
              <w:t>40.8809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E497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sz w:val="22"/>
                <w:lang w:val="en-US"/>
              </w:rPr>
              <w:t>40.8809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E497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sz w:val="22"/>
                <w:lang w:val="en-US"/>
              </w:rPr>
              <w:t>26 033 295.90</w:t>
            </w:r>
            <w:bookmarkEnd w:id="14"/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E497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7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97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03DD82-E45A-4194-90C0-DCCCC14B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5DCF6-54C0-4B7F-8AC0-B1576C7C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2026-06-17T13:17:00Z</dcterms:created>
  <dcterms:modified xsi:type="dcterms:W3CDTF">2026-06-17T13:18:00Z</dcterms:modified>
</cp:coreProperties>
</file>