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No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7470A5" w:rsidRPr="0059452E">
          <w:rPr>
            <w:rStyle w:val="Hyperlink"/>
            <w:sz w:val="18"/>
            <w:szCs w:val="18"/>
            <w:lang w:val="en-US"/>
          </w:rPr>
          <w:t>asset</w:t>
        </w:r>
        <w:r w:rsidR="007470A5" w:rsidRPr="007470A5">
          <w:rPr>
            <w:rStyle w:val="Hyperlink"/>
            <w:sz w:val="18"/>
            <w:szCs w:val="18"/>
            <w:lang w:val="ru-RU"/>
          </w:rPr>
          <w:t>.</w:t>
        </w:r>
        <w:r w:rsidR="007470A5" w:rsidRPr="0059452E">
          <w:rPr>
            <w:rStyle w:val="Hyperlink"/>
            <w:sz w:val="18"/>
            <w:szCs w:val="18"/>
            <w:lang w:val="en-US"/>
          </w:rPr>
          <w:t>management</w:t>
        </w:r>
        <w:r w:rsidR="007470A5" w:rsidRPr="007470A5">
          <w:rPr>
            <w:rStyle w:val="Hyperlink"/>
            <w:sz w:val="18"/>
            <w:szCs w:val="18"/>
            <w:lang w:val="ru-RU"/>
          </w:rPr>
          <w:t>@</w:t>
        </w:r>
        <w:r w:rsidR="007470A5" w:rsidRPr="0059452E">
          <w:rPr>
            <w:rStyle w:val="Hyperlink"/>
            <w:sz w:val="18"/>
            <w:szCs w:val="18"/>
            <w:lang w:val="en-US"/>
          </w:rPr>
          <w:t>teximbank</w:t>
        </w:r>
        <w:r w:rsidR="007470A5" w:rsidRPr="007470A5">
          <w:rPr>
            <w:rStyle w:val="Hyperlink"/>
            <w:sz w:val="18"/>
            <w:szCs w:val="18"/>
            <w:lang w:val="ru-RU"/>
          </w:rPr>
          <w:t>.</w:t>
        </w:r>
        <w:r w:rsidR="007470A5" w:rsidRPr="0059452E">
          <w:rPr>
            <w:rStyle w:val="Hyperlink"/>
            <w:sz w:val="18"/>
            <w:szCs w:val="18"/>
            <w:lang w:val="en-US"/>
          </w:rPr>
          <w:t>bg</w:t>
        </w:r>
      </w:hyperlink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38318D">
              <w:rPr>
                <w:b/>
                <w:sz w:val="22"/>
                <w:lang w:val="ru-RU"/>
              </w:rPr>
              <w:t>11.12.2025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r w:rsidRPr="00403058">
              <w:rPr>
                <w:sz w:val="22"/>
              </w:rPr>
              <w:t>Емисионна стойност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r w:rsidRPr="00403058"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38318D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  <w:lang w:val="en-US"/>
              </w:rPr>
              <w:t>72.1166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418" w:type="dxa"/>
            <w:vAlign w:val="center"/>
          </w:tcPr>
          <w:p w:rsidR="00403058" w:rsidRDefault="0038318D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  <w:lang w:val="en-US"/>
              </w:rPr>
              <w:t>72.1166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559" w:type="dxa"/>
            <w:vAlign w:val="center"/>
          </w:tcPr>
          <w:p w:rsidR="00403058" w:rsidRDefault="0038318D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  <w:lang w:val="en-US"/>
              </w:rPr>
              <w:t>72.1166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0671DD" w:rsidRDefault="0038318D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  <w:lang w:val="ru-RU"/>
              </w:rPr>
              <w:t>974 014.12</w:t>
            </w:r>
            <w:r w:rsidR="00403058">
              <w:rPr>
                <w:b/>
                <w:sz w:val="22"/>
                <w:lang w:val="ru-RU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1804FA" w:rsidRDefault="0038318D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“Texim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38318D">
              <w:rPr>
                <w:b/>
                <w:sz w:val="22"/>
                <w:lang w:val="en-US"/>
              </w:rPr>
              <w:t>11.12.2025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r w:rsidR="00AC48C6" w:rsidRPr="00AC48C6">
              <w:rPr>
                <w:b/>
                <w:sz w:val="22"/>
                <w:lang w:val="bg-BG"/>
              </w:rPr>
              <w:t>Texim Conservative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38318D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72.1166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403058" w:rsidRPr="00BB0EE0" w:rsidRDefault="0038318D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72.1166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403058" w:rsidRPr="00BB0EE0" w:rsidRDefault="0038318D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72.1166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2268" w:type="dxa"/>
            <w:vAlign w:val="center"/>
          </w:tcPr>
          <w:p w:rsidR="00403058" w:rsidRPr="00BB0EE0" w:rsidRDefault="0038318D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974 014.12</w:t>
            </w:r>
            <w:bookmarkEnd w:id="11"/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559" w:type="dxa"/>
            <w:vAlign w:val="center"/>
          </w:tcPr>
          <w:p w:rsidR="00403058" w:rsidRDefault="0038318D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18D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8318D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0F90EB2-76D5-443A-B320-4C74268C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3B6C6-7F65-4248-B1B0-8A137B737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2025-12-12T12:52:00Z</dcterms:created>
  <dcterms:modified xsi:type="dcterms:W3CDTF">2025-12-12T12:52:00Z</dcterms:modified>
</cp:coreProperties>
</file>