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559"/>
        <w:gridCol w:w="1559"/>
        <w:gridCol w:w="1701"/>
        <w:gridCol w:w="2268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76A7">
              <w:rPr>
                <w:b/>
                <w:sz w:val="22"/>
                <w:lang w:val="ru-RU"/>
              </w:rPr>
              <w:t>05.05.2026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D976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D976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D976A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FB5" w:rsidRPr="00D976A7" w:rsidRDefault="00D976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D976A7" w:rsidRDefault="00D976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D976A7" w:rsidRDefault="00D976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268" w:type="dxa"/>
            <w:vMerge w:val="restart"/>
            <w:vAlign w:val="center"/>
          </w:tcPr>
          <w:p w:rsidR="00FE6FB5" w:rsidRPr="00B95415" w:rsidRDefault="00D976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D976A7">
              <w:rPr>
                <w:b/>
                <w:sz w:val="22"/>
                <w:lang w:val="bg-BG"/>
              </w:rPr>
              <w:t>25 903 286.93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D976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D976A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76A7">
              <w:rPr>
                <w:b/>
                <w:sz w:val="22"/>
                <w:lang w:val="en-US"/>
              </w:rPr>
              <w:t>05.05.2026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D976A7" w:rsidRDefault="00D976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D976A7" w:rsidRDefault="00D976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D976A7" w:rsidRDefault="00D976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D976A7">
              <w:rPr>
                <w:b/>
                <w:sz w:val="22"/>
                <w:lang w:val="bg-BG"/>
              </w:rPr>
              <w:t>40.6767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76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D976A7">
              <w:rPr>
                <w:b/>
                <w:sz w:val="22"/>
                <w:lang w:val="bg-BG"/>
              </w:rPr>
              <w:t>25 903 286.93</w:t>
            </w:r>
            <w:r w:rsidR="00E733BB" w:rsidRPr="00D976A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76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6A7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39C168-903E-463E-B793-C9C03A0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3C13-7CB8-4DE5-A03C-4EAD016C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2026-05-07T12:07:00Z</dcterms:created>
  <dcterms:modified xsi:type="dcterms:W3CDTF">2026-05-07T12:09:00Z</dcterms:modified>
</cp:coreProperties>
</file>