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AE6D1" w14:textId="77777777" w:rsidR="0054379D" w:rsidRDefault="0054379D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kern w:val="32"/>
          <w:sz w:val="32"/>
          <w:szCs w:val="32"/>
          <w:lang w:val="en-US" w:eastAsia="zh-CN"/>
        </w:rPr>
      </w:pPr>
    </w:p>
    <w:p w14:paraId="3415C801" w14:textId="77777777" w:rsidR="0054379D" w:rsidRDefault="00B0312B">
      <w:pPr>
        <w:keepNext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2"/>
          <w:sz w:val="32"/>
          <w:szCs w:val="32"/>
          <w:lang w:eastAsia="zh-CN"/>
        </w:rPr>
      </w:pPr>
      <w:r>
        <w:rPr>
          <w:rFonts w:ascii="Arial Narrow" w:eastAsia="Times New Roman" w:hAnsi="Arial Narrow" w:cs="Times New Roman"/>
          <w:b/>
          <w:bCs/>
          <w:kern w:val="32"/>
          <w:sz w:val="32"/>
          <w:szCs w:val="32"/>
          <w:lang w:eastAsia="zh-CN"/>
        </w:rPr>
        <w:t>МЕЖДИНЕН ДОКЛАД ЗА ДЕЙНОСТТА</w:t>
      </w:r>
    </w:p>
    <w:p w14:paraId="42A68D4E" w14:textId="77777777" w:rsidR="0054379D" w:rsidRDefault="00B0312B">
      <w:pPr>
        <w:keepNext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</w:pPr>
      <w:r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на </w:t>
      </w:r>
      <w:r>
        <w:rPr>
          <w:rFonts w:ascii="Arial Narrow" w:eastAsia="Times New Roman" w:hAnsi="Arial Narrow" w:cs="Calibri"/>
          <w:b/>
          <w:bCs/>
          <w:sz w:val="24"/>
          <w:szCs w:val="24"/>
          <w:lang w:eastAsia="ar-SA"/>
        </w:rPr>
        <w:t>„</w:t>
      </w:r>
      <w:proofErr w:type="spellStart"/>
      <w:r>
        <w:rPr>
          <w:rFonts w:ascii="Arial Narrow" w:eastAsia="Times New Roman" w:hAnsi="Arial Narrow" w:cs="Calibri"/>
          <w:b/>
          <w:bCs/>
          <w:sz w:val="24"/>
          <w:szCs w:val="24"/>
          <w:lang w:eastAsia="ar-SA"/>
        </w:rPr>
        <w:t>Колекто</w:t>
      </w:r>
      <w:proofErr w:type="spellEnd"/>
      <w:r>
        <w:rPr>
          <w:rFonts w:ascii="Arial Narrow" w:eastAsia="Times New Roman" w:hAnsi="Arial Narrow" w:cs="Calibri"/>
          <w:b/>
          <w:bCs/>
          <w:sz w:val="24"/>
          <w:szCs w:val="24"/>
          <w:lang w:eastAsia="ar-SA"/>
        </w:rPr>
        <w:t xml:space="preserve"> Кепитъл“ АДСИЦ </w:t>
      </w:r>
      <w:r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по чл. 100о, ал. 4, т. 2 от ЗППЦК и чл. 12 и чл.</w:t>
      </w:r>
      <w:r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20, ал.</w:t>
      </w:r>
      <w:r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2, т.</w:t>
      </w:r>
      <w:r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1, ал.</w:t>
      </w:r>
      <w:r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3 и ал.</w:t>
      </w:r>
      <w:r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val="ru-RU" w:eastAsia="zh-CN"/>
        </w:rPr>
        <w:t xml:space="preserve"> </w:t>
      </w:r>
      <w:r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4 от Наредба № 2 от 9.11.2021 г. за първоначално  и последващо разкриване на информация при публично предлагане на ценни книжа и допускане на ценни книжа до търговия на регулиран пазар за периода 01.</w:t>
      </w:r>
      <w:r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01</w:t>
      </w:r>
      <w:r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.202</w:t>
      </w:r>
      <w:r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6</w:t>
      </w:r>
      <w:r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г. – 31.</w:t>
      </w:r>
      <w:r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03</w:t>
      </w:r>
      <w:r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.202</w:t>
      </w:r>
      <w:r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6</w:t>
      </w:r>
      <w:r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г. и с натрупване от 01.01.202</w:t>
      </w:r>
      <w:r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6</w:t>
      </w:r>
      <w:r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г. до </w:t>
      </w:r>
      <w:r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val="en-US" w:eastAsia="zh-CN"/>
        </w:rPr>
        <w:t>3</w:t>
      </w:r>
      <w:r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1</w:t>
      </w:r>
      <w:r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val="en-US" w:eastAsia="zh-CN"/>
        </w:rPr>
        <w:t>.</w:t>
      </w:r>
      <w:r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03</w:t>
      </w:r>
      <w:r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.202</w:t>
      </w:r>
      <w:r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>6</w:t>
      </w:r>
      <w:r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zh-CN"/>
        </w:rPr>
        <w:t xml:space="preserve"> г.  </w:t>
      </w:r>
    </w:p>
    <w:p w14:paraId="0A87B2FE" w14:textId="77777777" w:rsidR="0054379D" w:rsidRDefault="0054379D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</w:p>
    <w:p w14:paraId="12EA82F5" w14:textId="77777777" w:rsidR="0054379D" w:rsidRDefault="0054379D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</w:p>
    <w:p w14:paraId="49AEABD3" w14:textId="77777777" w:rsidR="0054379D" w:rsidRDefault="00B0312B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</w:r>
      <w:bookmarkStart w:id="0" w:name="_Hlk94083469"/>
      <w:r>
        <w:rPr>
          <w:rFonts w:ascii="Arial Narrow" w:eastAsia="Times New Roman" w:hAnsi="Arial Narrow" w:cs="Calibri"/>
          <w:sz w:val="24"/>
          <w:szCs w:val="24"/>
          <w:lang w:eastAsia="ar-SA"/>
        </w:rPr>
        <w:t>„</w:t>
      </w:r>
      <w:proofErr w:type="spellStart"/>
      <w:r>
        <w:rPr>
          <w:rFonts w:ascii="Arial Narrow" w:eastAsia="Times New Roman" w:hAnsi="Arial Narrow" w:cs="Calibri"/>
          <w:bCs/>
          <w:sz w:val="24"/>
          <w:szCs w:val="24"/>
          <w:lang w:eastAsia="ar-SA"/>
        </w:rPr>
        <w:t>Колекто</w:t>
      </w:r>
      <w:proofErr w:type="spellEnd"/>
      <w:r>
        <w:rPr>
          <w:rFonts w:ascii="Arial Narrow" w:eastAsia="Times New Roman" w:hAnsi="Arial Narrow" w:cs="Calibri"/>
          <w:bCs/>
          <w:sz w:val="24"/>
          <w:szCs w:val="24"/>
          <w:lang w:eastAsia="ar-SA"/>
        </w:rPr>
        <w:t xml:space="preserve"> Кепитъл“ АДСИЦ, </w:t>
      </w:r>
      <w:bookmarkEnd w:id="0"/>
      <w:r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с ЕИК 205685841 е акционерно дружество със специална инвестиционна цел, регистрирано в България по реда и условията на Закона за дружествата със специална инвестиционна цел  </w:t>
      </w:r>
      <w:r>
        <w:rPr>
          <w:rFonts w:ascii="Arial Narrow" w:eastAsia="SimSun" w:hAnsi="Arial Narrow" w:cs="Times New Roman"/>
          <w:sz w:val="24"/>
          <w:szCs w:val="24"/>
          <w:lang w:val="ru-RU" w:eastAsia="zh-CN" w:bidi="bg-BG"/>
        </w:rPr>
        <w:t>(</w:t>
      </w:r>
      <w:r>
        <w:rPr>
          <w:rFonts w:ascii="Arial Narrow" w:eastAsia="SimSun" w:hAnsi="Arial Narrow" w:cs="Times New Roman"/>
          <w:sz w:val="24"/>
          <w:szCs w:val="24"/>
          <w:lang w:eastAsia="zh-CN" w:bidi="bg-BG"/>
        </w:rPr>
        <w:t>отм.</w:t>
      </w:r>
      <w:r>
        <w:rPr>
          <w:rFonts w:ascii="Arial Narrow" w:eastAsia="SimSun" w:hAnsi="Arial Narrow" w:cs="Times New Roman"/>
          <w:sz w:val="24"/>
          <w:szCs w:val="24"/>
          <w:lang w:val="ru-RU" w:eastAsia="zh-CN" w:bidi="bg-BG"/>
        </w:rPr>
        <w:t>)</w:t>
      </w:r>
      <w:r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, респ. по реда на Закона за дружествата със специална инвестиционна цел и за дружествата за секюритизация </w:t>
      </w:r>
      <w:r>
        <w:rPr>
          <w:rFonts w:ascii="Arial Narrow" w:eastAsia="SimSun" w:hAnsi="Arial Narrow" w:cs="Times New Roman"/>
          <w:sz w:val="24"/>
          <w:szCs w:val="24"/>
          <w:lang w:val="ru-RU" w:eastAsia="zh-CN" w:bidi="bg-BG"/>
        </w:rPr>
        <w:t>(</w:t>
      </w:r>
      <w:r>
        <w:rPr>
          <w:rFonts w:ascii="Arial Narrow" w:eastAsia="SimSun" w:hAnsi="Arial Narrow" w:cs="Times New Roman"/>
          <w:sz w:val="24"/>
          <w:szCs w:val="24"/>
          <w:lang w:eastAsia="zh-CN" w:bidi="bg-BG"/>
        </w:rPr>
        <w:t>ЗДСИЦДС</w:t>
      </w:r>
      <w:r>
        <w:rPr>
          <w:rFonts w:ascii="Arial Narrow" w:eastAsia="SimSun" w:hAnsi="Arial Narrow" w:cs="Times New Roman"/>
          <w:sz w:val="24"/>
          <w:szCs w:val="24"/>
          <w:lang w:val="ru-RU" w:eastAsia="zh-CN" w:bidi="bg-BG"/>
        </w:rPr>
        <w:t>)</w:t>
      </w:r>
      <w:r>
        <w:rPr>
          <w:rFonts w:ascii="Arial Narrow" w:eastAsia="SimSun" w:hAnsi="Arial Narrow" w:cs="Times New Roman"/>
          <w:sz w:val="24"/>
          <w:szCs w:val="24"/>
          <w:lang w:eastAsia="zh-CN" w:bidi="bg-BG"/>
        </w:rPr>
        <w:t>, обнародван на 12.03.2021 г.</w:t>
      </w:r>
    </w:p>
    <w:p w14:paraId="4D0287AE" w14:textId="77777777" w:rsidR="0054379D" w:rsidRDefault="0054379D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</w:p>
    <w:p w14:paraId="751C09BB" w14:textId="77777777" w:rsidR="0054379D" w:rsidRDefault="00B0312B">
      <w:pPr>
        <w:spacing w:after="0" w:line="240" w:lineRule="auto"/>
        <w:jc w:val="both"/>
        <w:rPr>
          <w:rFonts w:ascii="Arial Narrow" w:eastAsia="SimSun" w:hAnsi="Arial Narrow" w:cs="Arial"/>
          <w:sz w:val="24"/>
          <w:szCs w:val="24"/>
          <w:lang w:eastAsia="zh-CN" w:bidi="bg-BG"/>
        </w:rPr>
      </w:pPr>
      <w:r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  <w:t xml:space="preserve">Дружеството е  вписано в ТР на 01.06.2019 г. с ЕИК 205685841, със седалище и адрес на управление </w:t>
      </w:r>
      <w:r>
        <w:rPr>
          <w:rFonts w:ascii="Arial Narrow" w:eastAsia="SimSun" w:hAnsi="Arial Narrow" w:cs="Arial"/>
          <w:sz w:val="24"/>
          <w:szCs w:val="24"/>
          <w:lang w:eastAsia="zh-CN" w:bidi="bg-BG"/>
        </w:rPr>
        <w:t xml:space="preserve">гр. София, п.к. 1000, община Столична, район „Триадица“, ул. „Алабин“ № 36, ет.4 </w:t>
      </w:r>
    </w:p>
    <w:p w14:paraId="4FAE3DDF" w14:textId="77777777" w:rsidR="0054379D" w:rsidRDefault="0054379D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6A88866D" w14:textId="77777777" w:rsidR="0054379D" w:rsidRDefault="00B0312B">
      <w:pPr>
        <w:spacing w:after="0" w:line="240" w:lineRule="auto"/>
        <w:ind w:firstLine="709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Предметът на дейност на Дружеството е набиране на парични средства, чрез издаване на ценни книжа и инвестиране на набраните средства във вземания (секюритизация на вземания), </w:t>
      </w:r>
      <w:proofErr w:type="spellStart"/>
      <w:r>
        <w:rPr>
          <w:rFonts w:ascii="Arial Narrow" w:eastAsia="SimSun" w:hAnsi="Arial Narrow" w:cs="Times New Roman"/>
          <w:sz w:val="24"/>
          <w:szCs w:val="24"/>
          <w:lang w:eastAsia="zh-CN" w:bidi="bg-BG"/>
        </w:rPr>
        <w:t>покупко</w:t>
      </w:r>
      <w:proofErr w:type="spellEnd"/>
      <w:r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– продажба на вземания.</w:t>
      </w:r>
    </w:p>
    <w:p w14:paraId="1299EB74" w14:textId="77777777" w:rsidR="0054379D" w:rsidRDefault="0054379D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</w:p>
    <w:p w14:paraId="35EA6B2D" w14:textId="77777777" w:rsidR="0054379D" w:rsidRDefault="00B0312B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  <w:t>Банка Депозитар на Дружеството е „Централна кооперативна банка” АД.</w:t>
      </w:r>
    </w:p>
    <w:p w14:paraId="7D1E735D" w14:textId="77777777" w:rsidR="0054379D" w:rsidRDefault="0054379D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</w:p>
    <w:p w14:paraId="143CA4B5" w14:textId="77777777" w:rsidR="0054379D" w:rsidRDefault="00B0312B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  <w:t>За обслужващо дружество, Дружеството има сключен договор с „</w:t>
      </w:r>
      <w:proofErr w:type="spellStart"/>
      <w:r>
        <w:rPr>
          <w:rFonts w:ascii="Arial Narrow" w:eastAsia="SimSun" w:hAnsi="Arial Narrow" w:cs="Times New Roman"/>
          <w:sz w:val="24"/>
          <w:szCs w:val="24"/>
          <w:lang w:eastAsia="zh-CN" w:bidi="bg-BG"/>
        </w:rPr>
        <w:t>АйДЕА</w:t>
      </w:r>
      <w:proofErr w:type="spellEnd"/>
      <w:r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обслужващо дружество” ЕООД, ЕИК 205501405, със седалище и адрес на управление гр. София, 1000, район „Средец“, </w:t>
      </w:r>
      <w:proofErr w:type="spellStart"/>
      <w:r>
        <w:rPr>
          <w:rFonts w:ascii="Arial Narrow" w:eastAsia="SimSun" w:hAnsi="Arial Narrow" w:cs="Times New Roman"/>
          <w:sz w:val="24"/>
          <w:szCs w:val="24"/>
          <w:lang w:eastAsia="zh-CN" w:bidi="bg-BG"/>
        </w:rPr>
        <w:t>ул</w:t>
      </w:r>
      <w:proofErr w:type="spellEnd"/>
      <w:r>
        <w:rPr>
          <w:rFonts w:ascii="Arial Narrow" w:eastAsia="SimSun" w:hAnsi="Arial Narrow" w:cs="Times New Roman"/>
          <w:sz w:val="24"/>
          <w:szCs w:val="24"/>
          <w:lang w:eastAsia="zh-CN" w:bidi="bg-BG"/>
        </w:rPr>
        <w:t>.„Славянска“, № 29А, ет.2, ап.10. С оглед на новоприетия ЗДСИЦДС договорът с „</w:t>
      </w:r>
      <w:proofErr w:type="spellStart"/>
      <w:r>
        <w:rPr>
          <w:rFonts w:ascii="Arial Narrow" w:eastAsia="SimSun" w:hAnsi="Arial Narrow" w:cs="Times New Roman"/>
          <w:sz w:val="24"/>
          <w:szCs w:val="24"/>
          <w:lang w:eastAsia="zh-CN" w:bidi="bg-BG"/>
        </w:rPr>
        <w:t>АйДЕА</w:t>
      </w:r>
      <w:proofErr w:type="spellEnd"/>
      <w:r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обслужващо дружество” ЕООД следва да бъде третиран като договор с трето лице по смисъла на чл. 27, ал. 4 от ЗДСИЦДС.</w:t>
      </w:r>
    </w:p>
    <w:p w14:paraId="75877936" w14:textId="77777777" w:rsidR="0054379D" w:rsidRDefault="00B0312B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Дружеството има сключен договор за регулярно и ефективно разкриване  и разпространение на информация до обществеността с </w:t>
      </w:r>
      <w:proofErr w:type="spellStart"/>
      <w:r>
        <w:rPr>
          <w:rFonts w:ascii="Arial Narrow" w:eastAsia="SimSun" w:hAnsi="Arial Narrow" w:cs="Times New Roman"/>
          <w:sz w:val="24"/>
          <w:szCs w:val="24"/>
          <w:lang w:eastAsia="zh-CN" w:bidi="bg-BG"/>
        </w:rPr>
        <w:t>Инвестор.бг</w:t>
      </w:r>
      <w:proofErr w:type="spellEnd"/>
      <w:r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АД (</w:t>
      </w:r>
      <w:hyperlink r:id="rId7" w:history="1">
        <w:r>
          <w:rPr>
            <w:rStyle w:val="ab"/>
            <w:rFonts w:ascii="Arial Narrow" w:eastAsia="SimSun" w:hAnsi="Arial Narrow" w:cs="Times New Roman"/>
            <w:sz w:val="24"/>
            <w:szCs w:val="24"/>
            <w:u w:val="none"/>
            <w:lang w:eastAsia="zh-CN" w:bidi="bg-BG"/>
          </w:rPr>
          <w:t>www.investor.bg</w:t>
        </w:r>
      </w:hyperlink>
      <w:r>
        <w:rPr>
          <w:rFonts w:ascii="Arial Narrow" w:eastAsia="SimSun" w:hAnsi="Arial Narrow" w:cs="Times New Roman"/>
          <w:sz w:val="24"/>
          <w:szCs w:val="24"/>
          <w:lang w:eastAsia="zh-CN" w:bidi="bg-BG"/>
        </w:rPr>
        <w:t>).</w:t>
      </w:r>
    </w:p>
    <w:p w14:paraId="6941F511" w14:textId="77777777" w:rsidR="0054379D" w:rsidRDefault="0054379D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</w:p>
    <w:p w14:paraId="22636F1C" w14:textId="77777777" w:rsidR="0054379D" w:rsidRDefault="00B0312B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  <w:t xml:space="preserve">С Решение № 1311-ДСИЦ от 19.12.2019 г. на Комисията за финансов надзор </w:t>
      </w:r>
      <w:r>
        <w:rPr>
          <w:rFonts w:ascii="Arial Narrow" w:eastAsia="Times New Roman" w:hAnsi="Arial Narrow" w:cs="Calibri"/>
          <w:sz w:val="24"/>
          <w:szCs w:val="24"/>
          <w:lang w:eastAsia="ar-SA"/>
        </w:rPr>
        <w:t>„</w:t>
      </w:r>
      <w:proofErr w:type="spellStart"/>
      <w:r>
        <w:rPr>
          <w:rFonts w:ascii="Arial Narrow" w:eastAsia="Times New Roman" w:hAnsi="Arial Narrow" w:cs="Calibri"/>
          <w:bCs/>
          <w:sz w:val="24"/>
          <w:szCs w:val="24"/>
          <w:lang w:eastAsia="ar-SA"/>
        </w:rPr>
        <w:t>Колекто</w:t>
      </w:r>
      <w:proofErr w:type="spellEnd"/>
      <w:r>
        <w:rPr>
          <w:rFonts w:ascii="Arial Narrow" w:eastAsia="Times New Roman" w:hAnsi="Arial Narrow" w:cs="Calibri"/>
          <w:bCs/>
          <w:sz w:val="24"/>
          <w:szCs w:val="24"/>
          <w:lang w:eastAsia="ar-SA"/>
        </w:rPr>
        <w:t xml:space="preserve"> Кепитъл“ АДСИЦ </w:t>
      </w:r>
      <w:r>
        <w:rPr>
          <w:rFonts w:ascii="Arial Narrow" w:eastAsia="SimSun" w:hAnsi="Arial Narrow" w:cs="Times New Roman"/>
          <w:sz w:val="24"/>
          <w:szCs w:val="24"/>
          <w:lang w:eastAsia="zh-CN" w:bidi="bg-BG"/>
        </w:rPr>
        <w:t xml:space="preserve"> е лицензирано да извършва дейност като дружество със специална инвестиционна цел, а именно: инвестиране на парични средства, набрани чрез издаване на ценни книжа, във вземания (секюритизация на вземания). </w:t>
      </w:r>
    </w:p>
    <w:p w14:paraId="5BAA4828" w14:textId="77777777" w:rsidR="0054379D" w:rsidRDefault="0054379D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highlight w:val="yellow"/>
          <w:lang w:eastAsia="zh-CN" w:bidi="bg-BG"/>
        </w:rPr>
      </w:pPr>
    </w:p>
    <w:p w14:paraId="2E9F0F35" w14:textId="77777777" w:rsidR="0054379D" w:rsidRDefault="00B0312B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  <w:t xml:space="preserve">С Решение № 272-ПД от 16.04.2020 г. на Комисията за финансов надзор Дружеството е вписано като публично дружество в регистъра на публичните дружества и други емитенти на ценни книжа. </w:t>
      </w:r>
    </w:p>
    <w:p w14:paraId="27173494" w14:textId="77777777" w:rsidR="0054379D" w:rsidRDefault="0054379D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highlight w:val="yellow"/>
          <w:lang w:eastAsia="zh-CN" w:bidi="bg-BG"/>
        </w:rPr>
      </w:pPr>
    </w:p>
    <w:p w14:paraId="4048E0D1" w14:textId="77777777" w:rsidR="0054379D" w:rsidRDefault="00B0312B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  <w:t>Дружеството е с едностепенна система на управление и се управлява от Съвет на директорите в тричленен състав, с тригодишен мандат:</w:t>
      </w:r>
    </w:p>
    <w:p w14:paraId="46E57D9A" w14:textId="77777777" w:rsidR="0054379D" w:rsidRDefault="0054379D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</w:p>
    <w:p w14:paraId="6D106851" w14:textId="77777777" w:rsidR="0054379D" w:rsidRDefault="00B0312B">
      <w:pPr>
        <w:pStyle w:val="ad"/>
        <w:numPr>
          <w:ilvl w:val="1"/>
          <w:numId w:val="1"/>
        </w:numPr>
        <w:spacing w:after="0" w:line="276" w:lineRule="auto"/>
        <w:ind w:left="1434" w:hanging="357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  <w:lang w:val="ru-RU"/>
        </w:rPr>
        <w:t xml:space="preserve">Алексей Алипиев </w:t>
      </w:r>
      <w:proofErr w:type="gramStart"/>
      <w:r>
        <w:rPr>
          <w:rFonts w:ascii="Arial Narrow" w:hAnsi="Arial Narrow" w:cstheme="minorHAnsi"/>
          <w:sz w:val="24"/>
          <w:szCs w:val="24"/>
          <w:lang w:val="ru-RU"/>
        </w:rPr>
        <w:t xml:space="preserve">Георгиев  </w:t>
      </w:r>
      <w:r>
        <w:rPr>
          <w:rFonts w:ascii="Arial Narrow" w:hAnsi="Arial Narrow" w:cstheme="minorHAnsi"/>
          <w:sz w:val="24"/>
          <w:szCs w:val="24"/>
        </w:rPr>
        <w:t>–</w:t>
      </w:r>
      <w:proofErr w:type="gramEnd"/>
      <w:r>
        <w:rPr>
          <w:rFonts w:ascii="Arial Narrow" w:hAnsi="Arial Narrow" w:cstheme="minorHAnsi"/>
          <w:sz w:val="24"/>
          <w:szCs w:val="24"/>
        </w:rPr>
        <w:t xml:space="preserve"> Председател на СД; </w:t>
      </w:r>
    </w:p>
    <w:p w14:paraId="297ED06E" w14:textId="77777777" w:rsidR="0054379D" w:rsidRDefault="00B0312B">
      <w:pPr>
        <w:pStyle w:val="ad"/>
        <w:numPr>
          <w:ilvl w:val="1"/>
          <w:numId w:val="1"/>
        </w:numPr>
        <w:spacing w:after="0" w:line="276" w:lineRule="auto"/>
        <w:ind w:left="1434" w:hanging="357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color w:val="000000"/>
          <w:sz w:val="24"/>
          <w:szCs w:val="24"/>
          <w:lang w:val="ru-RU"/>
        </w:rPr>
        <w:t xml:space="preserve">Кирил Василев </w:t>
      </w:r>
      <w:proofErr w:type="spellStart"/>
      <w:r>
        <w:rPr>
          <w:rFonts w:ascii="Arial Narrow" w:hAnsi="Arial Narrow" w:cstheme="minorHAnsi"/>
          <w:color w:val="000000"/>
          <w:sz w:val="24"/>
          <w:szCs w:val="24"/>
          <w:lang w:val="ru-RU"/>
        </w:rPr>
        <w:t>Стоименов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– </w:t>
      </w:r>
      <w:proofErr w:type="gramStart"/>
      <w:r>
        <w:rPr>
          <w:rFonts w:ascii="Arial Narrow" w:hAnsi="Arial Narrow" w:cstheme="minorHAnsi"/>
          <w:sz w:val="24"/>
          <w:szCs w:val="24"/>
        </w:rPr>
        <w:t>член  на</w:t>
      </w:r>
      <w:proofErr w:type="gramEnd"/>
      <w:r>
        <w:rPr>
          <w:rFonts w:ascii="Arial Narrow" w:hAnsi="Arial Narrow" w:cstheme="minorHAnsi"/>
          <w:sz w:val="24"/>
          <w:szCs w:val="24"/>
        </w:rPr>
        <w:t xml:space="preserve"> СД;</w:t>
      </w:r>
    </w:p>
    <w:p w14:paraId="010EE01C" w14:textId="77777777" w:rsidR="0054379D" w:rsidRDefault="00B0312B">
      <w:pPr>
        <w:pStyle w:val="ad"/>
        <w:numPr>
          <w:ilvl w:val="1"/>
          <w:numId w:val="1"/>
        </w:numPr>
        <w:spacing w:after="0" w:line="240" w:lineRule="auto"/>
        <w:ind w:left="1434" w:hanging="357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>
        <w:rPr>
          <w:rFonts w:ascii="Arial Narrow" w:hAnsi="Arial Narrow" w:cstheme="minorHAnsi"/>
          <w:sz w:val="24"/>
          <w:szCs w:val="24"/>
        </w:rPr>
        <w:t>Иван Димитров Пирински – член на СД и Изпълнителен директор</w:t>
      </w:r>
      <w:r>
        <w:rPr>
          <w:rFonts w:ascii="Arial Narrow" w:eastAsia="SimSun" w:hAnsi="Arial Narrow" w:cs="Times New Roman"/>
          <w:sz w:val="24"/>
          <w:szCs w:val="24"/>
          <w:lang w:eastAsia="zh-CN" w:bidi="bg-BG"/>
        </w:rPr>
        <w:t>.</w:t>
      </w:r>
    </w:p>
    <w:p w14:paraId="32B844F9" w14:textId="77777777" w:rsidR="0054379D" w:rsidRDefault="00B0312B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</w:r>
      <w:r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</w:r>
    </w:p>
    <w:p w14:paraId="623AE424" w14:textId="77777777" w:rsidR="0054379D" w:rsidRDefault="00B0312B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</w:r>
      <w:r>
        <w:rPr>
          <w:rFonts w:ascii="Arial Narrow" w:eastAsia="SimSun" w:hAnsi="Arial Narrow" w:cs="Times New Roman"/>
          <w:sz w:val="24"/>
          <w:szCs w:val="24"/>
          <w:lang w:eastAsia="zh-CN" w:bidi="bg-BG"/>
        </w:rPr>
        <w:t>Дружеството се представлява пред трети лица от изпълнителния директор</w:t>
      </w:r>
      <w:r>
        <w:rPr>
          <w:rFonts w:ascii="Arial Narrow" w:eastAsia="SimSun" w:hAnsi="Arial Narrow" w:cs="Times New Roman"/>
          <w:sz w:val="24"/>
          <w:szCs w:val="24"/>
          <w:lang w:eastAsia="zh-CN" w:bidi="bg-BG"/>
        </w:rPr>
        <w:tab/>
        <w:t>Иван</w:t>
      </w:r>
      <w:r>
        <w:rPr>
          <w:rFonts w:ascii="Arial Narrow" w:eastAsia="SimSun" w:hAnsi="Arial Narrow" w:cs="Times New Roman"/>
          <w:sz w:val="24"/>
          <w:szCs w:val="24"/>
          <w:lang w:val="en-US" w:eastAsia="zh-CN" w:bidi="bg-BG"/>
        </w:rPr>
        <w:t xml:space="preserve"> </w:t>
      </w:r>
      <w:r>
        <w:rPr>
          <w:rFonts w:ascii="Arial Narrow" w:eastAsia="SimSun" w:hAnsi="Arial Narrow" w:cs="Times New Roman"/>
          <w:sz w:val="24"/>
          <w:szCs w:val="24"/>
          <w:lang w:eastAsia="zh-CN" w:bidi="bg-BG"/>
        </w:rPr>
        <w:t>Димитров Пирински.</w:t>
      </w:r>
    </w:p>
    <w:p w14:paraId="084F1CB3" w14:textId="77777777" w:rsidR="0054379D" w:rsidRDefault="0054379D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5E0CB220" w14:textId="77777777" w:rsidR="0054379D" w:rsidRDefault="0054379D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281A712F" w14:textId="77777777" w:rsidR="0054379D" w:rsidRDefault="00B0312B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>Информация за важни събития, настъпили през периода 01.</w:t>
      </w: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>01</w:t>
      </w: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>.202</w:t>
      </w: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>6</w:t>
      </w: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 г. – 31.</w:t>
      </w: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>03</w:t>
      </w: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>.202</w:t>
      </w: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>6</w:t>
      </w: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 г. и с натрупване от 01.01.202</w:t>
      </w: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>6</w:t>
      </w: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 г. до 31.</w:t>
      </w: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>03</w:t>
      </w: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>.202</w:t>
      </w: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>6</w:t>
      </w: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 г. </w:t>
      </w:r>
    </w:p>
    <w:p w14:paraId="1974DFB5" w14:textId="77777777" w:rsidR="0054379D" w:rsidRDefault="0054379D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33B6EF1B" w14:textId="77777777" w:rsidR="0054379D" w:rsidRDefault="00B0312B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>
        <w:rPr>
          <w:rFonts w:ascii="Arial Narrow" w:eastAsia="SimSun" w:hAnsi="Arial Narrow" w:cs="Times New Roman"/>
          <w:i/>
          <w:sz w:val="24"/>
          <w:szCs w:val="24"/>
          <w:lang w:eastAsia="zh-CN"/>
        </w:rPr>
        <w:tab/>
      </w:r>
      <w:r>
        <w:rPr>
          <w:rFonts w:ascii="Arial Narrow" w:eastAsia="SimSun" w:hAnsi="Arial Narrow" w:cs="Times New Roman"/>
          <w:sz w:val="24"/>
          <w:szCs w:val="24"/>
          <w:lang w:eastAsia="zh-CN"/>
        </w:rPr>
        <w:t>През настоящото тримесечие Дружеството продължи усилията си за събиране на вземанията по сключените по-рано договори, както и за придобиване на нови вземания.</w:t>
      </w:r>
    </w:p>
    <w:p w14:paraId="0BFFBC2C" w14:textId="77777777" w:rsidR="0054379D" w:rsidRDefault="0054379D">
      <w:pPr>
        <w:pStyle w:val="ad"/>
        <w:spacing w:after="0" w:line="240" w:lineRule="auto"/>
        <w:ind w:left="360"/>
        <w:jc w:val="both"/>
        <w:rPr>
          <w:rFonts w:ascii="Arial Narrow" w:eastAsia="SimSun" w:hAnsi="Arial Narrow" w:cs="Times New Roman"/>
          <w:b/>
          <w:sz w:val="24"/>
          <w:szCs w:val="24"/>
          <w:lang w:eastAsia="zh-CN"/>
        </w:rPr>
      </w:pPr>
    </w:p>
    <w:p w14:paraId="6CE2A3E5" w14:textId="77777777" w:rsidR="0054379D" w:rsidRDefault="00B0312B">
      <w:pPr>
        <w:pStyle w:val="ad"/>
        <w:spacing w:after="0" w:line="240" w:lineRule="auto"/>
        <w:ind w:left="360"/>
        <w:jc w:val="both"/>
        <w:rPr>
          <w:rFonts w:ascii="Arial Narrow" w:eastAsia="SimSun" w:hAnsi="Arial Narrow" w:cs="Times New Roman"/>
          <w:b/>
          <w:sz w:val="24"/>
          <w:szCs w:val="24"/>
          <w:lang w:eastAsia="zh-CN"/>
        </w:rPr>
      </w:pP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>Влияние на горепосочените събития върху резултатите във финансовия отчет</w:t>
      </w:r>
    </w:p>
    <w:p w14:paraId="4DB68612" w14:textId="77777777" w:rsidR="0054379D" w:rsidRDefault="0054379D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6E42405F" w14:textId="77777777" w:rsidR="0054379D" w:rsidRDefault="00B0312B">
      <w:pPr>
        <w:spacing w:after="0" w:line="240" w:lineRule="auto"/>
        <w:jc w:val="both"/>
        <w:rPr>
          <w:rFonts w:ascii="Arial Narrow" w:eastAsia="SimSun" w:hAnsi="Arial Narrow" w:cs="Times New Roman"/>
          <w:iCs/>
          <w:sz w:val="24"/>
          <w:szCs w:val="24"/>
          <w:lang w:eastAsia="zh-CN"/>
        </w:rPr>
      </w:pPr>
      <w:r>
        <w:rPr>
          <w:rFonts w:ascii="Arial Narrow" w:eastAsia="SimSun" w:hAnsi="Arial Narrow" w:cs="Times New Roman"/>
          <w:sz w:val="24"/>
          <w:szCs w:val="24"/>
          <w:lang w:eastAsia="zh-CN"/>
        </w:rPr>
        <w:tab/>
      </w:r>
      <w:r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Във връзка с продължаващата руска инвазия в Украйна и висока несигурност за скорошното </w:t>
      </w:r>
      <w:r>
        <w:rPr>
          <w:rFonts w:ascii="Calibri" w:eastAsia="SimSun" w:hAnsi="Calibri" w:cs="Calibri"/>
          <w:iCs/>
          <w:sz w:val="24"/>
          <w:szCs w:val="24"/>
          <w:lang w:eastAsia="zh-CN"/>
        </w:rPr>
        <w:t>ѝ</w:t>
      </w:r>
      <w:r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>
        <w:rPr>
          <w:rFonts w:ascii="Arial Narrow" w:eastAsia="SimSun" w:hAnsi="Arial Narrow" w:cs="Arial Narrow"/>
          <w:iCs/>
          <w:sz w:val="24"/>
          <w:szCs w:val="24"/>
          <w:lang w:eastAsia="zh-CN"/>
        </w:rPr>
        <w:t>прекратяване</w:t>
      </w:r>
      <w:r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>
        <w:rPr>
          <w:rFonts w:ascii="Arial Narrow" w:eastAsia="SimSun" w:hAnsi="Arial Narrow" w:cs="Arial Narrow"/>
          <w:iCs/>
          <w:sz w:val="24"/>
          <w:szCs w:val="24"/>
          <w:lang w:eastAsia="zh-CN"/>
        </w:rPr>
        <w:t>оценката</w:t>
      </w:r>
      <w:r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>
        <w:rPr>
          <w:rFonts w:ascii="Arial Narrow" w:eastAsia="SimSun" w:hAnsi="Arial Narrow" w:cs="Arial Narrow"/>
          <w:iCs/>
          <w:sz w:val="24"/>
          <w:szCs w:val="24"/>
          <w:lang w:eastAsia="zh-CN"/>
        </w:rPr>
        <w:t>на</w:t>
      </w:r>
      <w:r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>
        <w:rPr>
          <w:rFonts w:ascii="Arial Narrow" w:eastAsia="SimSun" w:hAnsi="Arial Narrow" w:cs="Arial Narrow"/>
          <w:iCs/>
          <w:sz w:val="24"/>
          <w:szCs w:val="24"/>
          <w:lang w:eastAsia="zh-CN"/>
        </w:rPr>
        <w:t>икономически</w:t>
      </w:r>
      <w:r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>
        <w:rPr>
          <w:rFonts w:ascii="Arial Narrow" w:eastAsia="SimSun" w:hAnsi="Arial Narrow" w:cs="Arial Narrow"/>
          <w:iCs/>
          <w:sz w:val="24"/>
          <w:szCs w:val="24"/>
          <w:lang w:eastAsia="zh-CN"/>
        </w:rPr>
        <w:t>последици</w:t>
      </w:r>
      <w:r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>
        <w:rPr>
          <w:rFonts w:ascii="Arial Narrow" w:eastAsia="SimSun" w:hAnsi="Arial Narrow" w:cs="Arial Narrow"/>
          <w:iCs/>
          <w:sz w:val="24"/>
          <w:szCs w:val="24"/>
          <w:lang w:eastAsia="zh-CN"/>
        </w:rPr>
        <w:t>за</w:t>
      </w:r>
      <w:r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>
        <w:rPr>
          <w:rFonts w:ascii="Arial Narrow" w:eastAsia="SimSun" w:hAnsi="Arial Narrow" w:cs="Arial Narrow"/>
          <w:iCs/>
          <w:sz w:val="24"/>
          <w:szCs w:val="24"/>
          <w:lang w:eastAsia="zh-CN"/>
        </w:rPr>
        <w:t>световната</w:t>
      </w:r>
      <w:r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>
        <w:rPr>
          <w:rFonts w:ascii="Arial Narrow" w:eastAsia="SimSun" w:hAnsi="Arial Narrow" w:cs="Arial Narrow"/>
          <w:iCs/>
          <w:sz w:val="24"/>
          <w:szCs w:val="24"/>
          <w:lang w:eastAsia="zh-CN"/>
        </w:rPr>
        <w:t>икономика</w:t>
      </w:r>
      <w:r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>
        <w:rPr>
          <w:rFonts w:ascii="Arial Narrow" w:eastAsia="SimSun" w:hAnsi="Arial Narrow" w:cs="Arial Narrow"/>
          <w:iCs/>
          <w:sz w:val="24"/>
          <w:szCs w:val="24"/>
          <w:lang w:eastAsia="zh-CN"/>
        </w:rPr>
        <w:t>става</w:t>
      </w:r>
      <w:r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 </w:t>
      </w:r>
      <w:r>
        <w:rPr>
          <w:rFonts w:ascii="Arial Narrow" w:eastAsia="SimSun" w:hAnsi="Arial Narrow" w:cs="Arial Narrow"/>
          <w:iCs/>
          <w:sz w:val="24"/>
          <w:szCs w:val="24"/>
          <w:lang w:eastAsia="zh-CN"/>
        </w:rPr>
        <w:t>по</w:t>
      </w:r>
      <w:r>
        <w:rPr>
          <w:rFonts w:ascii="Arial Narrow" w:eastAsia="SimSun" w:hAnsi="Arial Narrow" w:cs="Times New Roman"/>
          <w:iCs/>
          <w:sz w:val="24"/>
          <w:szCs w:val="24"/>
          <w:lang w:eastAsia="zh-CN"/>
        </w:rPr>
        <w:t>-</w:t>
      </w:r>
      <w:r>
        <w:rPr>
          <w:rFonts w:ascii="Arial Narrow" w:eastAsia="SimSun" w:hAnsi="Arial Narrow" w:cs="Arial Narrow"/>
          <w:iCs/>
          <w:sz w:val="24"/>
          <w:szCs w:val="24"/>
          <w:lang w:eastAsia="zh-CN"/>
        </w:rPr>
        <w:t>мрачна</w:t>
      </w:r>
      <w:r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. </w:t>
      </w:r>
      <w:r>
        <w:rPr>
          <w:rFonts w:ascii="Arial Narrow" w:eastAsia="SimSun" w:hAnsi="Arial Narrow" w:cs="Arial Narrow"/>
          <w:iCs/>
          <w:sz w:val="24"/>
          <w:szCs w:val="24"/>
          <w:lang w:eastAsia="zh-CN"/>
        </w:rPr>
        <w:t>Шоковете</w:t>
      </w:r>
      <w:r>
        <w:rPr>
          <w:rFonts w:ascii="Arial Narrow" w:eastAsia="SimSun" w:hAnsi="Arial Narrow" w:cs="Times New Roman"/>
          <w:iCs/>
          <w:sz w:val="24"/>
          <w:szCs w:val="24"/>
          <w:lang w:eastAsia="zh-CN"/>
        </w:rPr>
        <w:t xml:space="preserve">, </w:t>
      </w:r>
      <w:r>
        <w:rPr>
          <w:rFonts w:ascii="Arial Narrow" w:eastAsia="SimSun" w:hAnsi="Arial Narrow" w:cs="Arial Narrow"/>
          <w:iCs/>
          <w:sz w:val="24"/>
          <w:szCs w:val="24"/>
          <w:lang w:eastAsia="zh-CN"/>
        </w:rPr>
        <w:t>отп</w:t>
      </w:r>
      <w:r>
        <w:rPr>
          <w:rFonts w:ascii="Arial Narrow" w:eastAsia="SimSun" w:hAnsi="Arial Narrow" w:cs="Times New Roman"/>
          <w:iCs/>
          <w:sz w:val="24"/>
          <w:szCs w:val="24"/>
          <w:lang w:eastAsia="zh-CN"/>
        </w:rPr>
        <w:t>рищени от войната, удрят икономиката на страните от ЕС както пряко, така и непряко, като я насочват към по-нисък растеж и по-висока инфлация. Бързото нарастване на цените на енергийните и хранителни стоки подхранват глобалния инфлационен натиск и предизвикват по-бърз отговор на паричната политика отколкото се предполага</w:t>
      </w:r>
      <w:r>
        <w:rPr>
          <w:rFonts w:ascii="Arial Narrow" w:eastAsia="SimSun" w:hAnsi="Arial Narrow" w:cs="Times New Roman"/>
          <w:iCs/>
          <w:sz w:val="24"/>
          <w:szCs w:val="24"/>
          <w:lang w:eastAsia="zh-CN"/>
        </w:rPr>
        <w:t>ше по-рано.</w:t>
      </w:r>
    </w:p>
    <w:p w14:paraId="7EAC6290" w14:textId="77777777" w:rsidR="0054379D" w:rsidRDefault="0054379D">
      <w:pPr>
        <w:spacing w:after="0" w:line="240" w:lineRule="auto"/>
        <w:jc w:val="both"/>
        <w:rPr>
          <w:rFonts w:ascii="Arial Narrow" w:eastAsia="SimSun" w:hAnsi="Arial Narrow" w:cs="Times New Roman"/>
          <w:iCs/>
          <w:sz w:val="24"/>
          <w:szCs w:val="24"/>
          <w:lang w:eastAsia="zh-CN"/>
        </w:rPr>
      </w:pPr>
    </w:p>
    <w:p w14:paraId="364E1770" w14:textId="77777777" w:rsidR="0054379D" w:rsidRDefault="00B0312B">
      <w:pPr>
        <w:spacing w:after="0" w:line="240" w:lineRule="auto"/>
        <w:jc w:val="both"/>
        <w:rPr>
          <w:rFonts w:ascii="Arial Narrow" w:eastAsia="SimSun" w:hAnsi="Arial Narrow" w:cs="Times New Roman"/>
          <w:iCs/>
          <w:sz w:val="24"/>
          <w:szCs w:val="24"/>
          <w:lang w:eastAsia="zh-CN"/>
        </w:rPr>
      </w:pPr>
      <w:r>
        <w:rPr>
          <w:rFonts w:ascii="Arial Narrow" w:eastAsia="SimSun" w:hAnsi="Arial Narrow" w:cs="Times New Roman"/>
          <w:iCs/>
          <w:sz w:val="24"/>
          <w:szCs w:val="24"/>
          <w:lang w:eastAsia="zh-CN"/>
        </w:rPr>
        <w:tab/>
        <w:t>В конфликти като конфликта в Газа между Израел и „Хамас“, редица сектори може да претърпят значителни сътресения в резултат на щетите по инфраструктурата, прекъсванията на веригата за доставки и икономическата нестабилност в региона. Освен това геополитическото напрежение може да доведе до колебания в цените на петрола, което да повлияе на оперативните разходи на бизнеса. Атаките срещу кораби в Червено море прекъсват глобалните вериги за доставки и водят до прекъсване на производството в определени индустр</w:t>
      </w:r>
      <w:r>
        <w:rPr>
          <w:rFonts w:ascii="Arial Narrow" w:eastAsia="SimSun" w:hAnsi="Arial Narrow" w:cs="Times New Roman"/>
          <w:iCs/>
          <w:sz w:val="24"/>
          <w:szCs w:val="24"/>
          <w:lang w:eastAsia="zh-CN"/>
        </w:rPr>
        <w:t>ии и забавяне на доставките.</w:t>
      </w:r>
    </w:p>
    <w:p w14:paraId="6CE5F788" w14:textId="77777777" w:rsidR="0054379D" w:rsidRDefault="0054379D">
      <w:pPr>
        <w:spacing w:after="0" w:line="240" w:lineRule="auto"/>
        <w:jc w:val="both"/>
        <w:rPr>
          <w:rFonts w:ascii="Arial Narrow" w:eastAsia="SimSun" w:hAnsi="Arial Narrow" w:cs="Times New Roman"/>
          <w:iCs/>
          <w:sz w:val="24"/>
          <w:szCs w:val="24"/>
          <w:lang w:eastAsia="zh-CN"/>
        </w:rPr>
      </w:pPr>
    </w:p>
    <w:p w14:paraId="4D56000F" w14:textId="77777777" w:rsidR="0054379D" w:rsidRDefault="00B0312B">
      <w:pPr>
        <w:spacing w:after="0" w:line="240" w:lineRule="auto"/>
        <w:ind w:firstLine="709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  <w:lang w:eastAsia="bg-BG"/>
        </w:rPr>
      </w:pPr>
      <w:r>
        <w:rPr>
          <w:rFonts w:ascii="Arial Narrow" w:eastAsia="Times New Roman" w:hAnsi="Arial Narrow" w:cs="Arial"/>
          <w:sz w:val="24"/>
          <w:szCs w:val="24"/>
          <w:lang w:eastAsia="ar-SA"/>
        </w:rPr>
        <w:t>Дружеството няма никакви активи и операции в Украйна, Беларус или Русия или в други държави, съседни на Украйна</w:t>
      </w:r>
      <w:bookmarkStart w:id="1" w:name="_Hlk158287998"/>
      <w:r>
        <w:rPr>
          <w:rFonts w:ascii="Arial Narrow" w:eastAsia="Times New Roman" w:hAnsi="Arial Narrow" w:cs="Arial"/>
          <w:sz w:val="24"/>
          <w:szCs w:val="24"/>
          <w:lang w:eastAsia="ar-SA"/>
        </w:rPr>
        <w:t xml:space="preserve">, както и в Израел и други държави в региона на </w:t>
      </w:r>
      <w:bookmarkEnd w:id="1"/>
      <w:r>
        <w:rPr>
          <w:rFonts w:ascii="Arial Narrow" w:eastAsia="Times New Roman" w:hAnsi="Arial Narrow" w:cs="Arial"/>
          <w:sz w:val="24"/>
          <w:szCs w:val="24"/>
          <w:lang w:eastAsia="ar-SA"/>
        </w:rPr>
        <w:t xml:space="preserve">Газа.  Поради това Дружеството не е пряко засегнато от търговски ограничения или санкции, но е засегнато от по-широки макроикономически последици - съществено увеличение на инфлацията и сложната икономическа обстановка по отношение на сектора, в който работи Дружеството, а именно </w:t>
      </w:r>
      <w:r>
        <w:rPr>
          <w:rFonts w:ascii="Arial Narrow" w:eastAsia="Times New Roman" w:hAnsi="Arial Narrow" w:cs="Arial"/>
          <w:bCs/>
          <w:color w:val="000000"/>
          <w:sz w:val="24"/>
          <w:szCs w:val="24"/>
          <w:lang w:eastAsia="bg-BG"/>
        </w:rPr>
        <w:t>покупката на вземания.</w:t>
      </w:r>
      <w:r>
        <w:rPr>
          <w:rFonts w:ascii="Arial Narrow" w:eastAsia="Times New Roman" w:hAnsi="Arial Narrow" w:cs="Arial"/>
          <w:b/>
          <w:color w:val="000000"/>
          <w:sz w:val="24"/>
          <w:szCs w:val="24"/>
          <w:lang w:eastAsia="bg-BG"/>
        </w:rPr>
        <w:t xml:space="preserve"> </w:t>
      </w:r>
    </w:p>
    <w:p w14:paraId="774D2FC4" w14:textId="77777777" w:rsidR="0054379D" w:rsidRDefault="0054379D">
      <w:pPr>
        <w:spacing w:after="0" w:line="240" w:lineRule="auto"/>
        <w:ind w:left="720" w:firstLine="360"/>
        <w:jc w:val="both"/>
        <w:rPr>
          <w:rFonts w:ascii="Arial Narrow" w:eastAsia="SimSun" w:hAnsi="Arial Narrow" w:cs="Times New Roman"/>
          <w:i/>
          <w:sz w:val="24"/>
          <w:szCs w:val="24"/>
          <w:lang w:eastAsia="zh-CN"/>
        </w:rPr>
      </w:pPr>
    </w:p>
    <w:p w14:paraId="672E56C1" w14:textId="77777777" w:rsidR="0054379D" w:rsidRDefault="00B0312B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Arial Narrow" w:eastAsia="SimSun" w:hAnsi="Arial Narrow" w:cs="Times New Roman"/>
          <w:b/>
          <w:sz w:val="24"/>
          <w:szCs w:val="24"/>
          <w:lang w:eastAsia="zh-CN"/>
        </w:rPr>
      </w:pP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Рискове и </w:t>
      </w:r>
      <w:proofErr w:type="spellStart"/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>несигурности</w:t>
      </w:r>
      <w:proofErr w:type="spellEnd"/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>, пред които е изправено Дружеството до края на финансовата година.</w:t>
      </w:r>
    </w:p>
    <w:p w14:paraId="77C32152" w14:textId="77777777" w:rsidR="0054379D" w:rsidRDefault="0054379D">
      <w:pPr>
        <w:spacing w:after="0" w:line="240" w:lineRule="auto"/>
        <w:jc w:val="both"/>
        <w:rPr>
          <w:rFonts w:ascii="Arial Narrow" w:eastAsia="SimSun" w:hAnsi="Arial Narrow" w:cs="Times New Roman"/>
          <w:b/>
          <w:i/>
          <w:sz w:val="24"/>
          <w:szCs w:val="24"/>
          <w:lang w:eastAsia="zh-CN"/>
        </w:rPr>
      </w:pPr>
    </w:p>
    <w:p w14:paraId="13E2469F" w14:textId="77777777" w:rsidR="0054379D" w:rsidRDefault="00B0312B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Arial Narrow" w:eastAsia="SimSun" w:hAnsi="Arial Narrow" w:cs="Times New Roman"/>
          <w:b/>
          <w:bCs/>
          <w:sz w:val="24"/>
          <w:szCs w:val="24"/>
          <w:lang w:eastAsia="zh-CN" w:bidi="bg-BG"/>
        </w:rPr>
      </w:pPr>
      <w:bookmarkStart w:id="2" w:name="bookmark5"/>
      <w:r>
        <w:rPr>
          <w:rFonts w:ascii="Arial Narrow" w:eastAsia="SimSun" w:hAnsi="Arial Narrow" w:cs="Times New Roman"/>
          <w:b/>
          <w:bCs/>
          <w:sz w:val="24"/>
          <w:szCs w:val="24"/>
          <w:lang w:eastAsia="zh-CN" w:bidi="bg-BG"/>
        </w:rPr>
        <w:t>Управление на риска</w:t>
      </w:r>
      <w:bookmarkEnd w:id="2"/>
    </w:p>
    <w:p w14:paraId="6ABBF0BD" w14:textId="77777777" w:rsidR="0054379D" w:rsidRDefault="0054379D">
      <w:pPr>
        <w:spacing w:after="0" w:line="240" w:lineRule="auto"/>
        <w:ind w:firstLine="284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470F7E97" w14:textId="77777777" w:rsidR="0054379D" w:rsidRDefault="00B0312B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>
        <w:rPr>
          <w:rFonts w:ascii="Arial Narrow" w:eastAsia="SimSun" w:hAnsi="Arial Narrow" w:cs="Times New Roman"/>
          <w:sz w:val="24"/>
          <w:szCs w:val="24"/>
          <w:lang w:eastAsia="zh-CN"/>
        </w:rPr>
        <w:tab/>
      </w:r>
      <w:r>
        <w:rPr>
          <w:rFonts w:ascii="Arial Narrow" w:eastAsia="SimSun" w:hAnsi="Arial Narrow" w:cs="Times New Roman"/>
          <w:sz w:val="24"/>
          <w:szCs w:val="24"/>
          <w:lang w:eastAsia="zh-CN"/>
        </w:rPr>
        <w:t>Управлението на риска е неразделна част от политиката по управление на Дружеството, тъй като е свързано с доверието на инвеститорите.</w:t>
      </w:r>
    </w:p>
    <w:p w14:paraId="38785154" w14:textId="77777777" w:rsidR="0054379D" w:rsidRDefault="0054379D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7AD4E19F" w14:textId="77777777" w:rsidR="0054379D" w:rsidRDefault="00B0312B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>
        <w:rPr>
          <w:rFonts w:ascii="Arial Narrow" w:eastAsia="SimSun" w:hAnsi="Arial Narrow" w:cs="Times New Roman"/>
          <w:sz w:val="24"/>
          <w:szCs w:val="24"/>
          <w:lang w:eastAsia="zh-CN"/>
        </w:rPr>
        <w:tab/>
        <w:t>Дейността на Дружеството е съсредоточена в инвестиране на парични средства, набирани чрез емитиране на ценни книжа, във вземания (секюритизация на вземания) и е контролирана от КФН. Съгласно ЗДСИЦДС, Дружеството оперира единствено и само в сектора за секюритизация на вземания.  Върху тази специфична и силно ограничена дейност влияят множество рискови фактори.</w:t>
      </w:r>
    </w:p>
    <w:p w14:paraId="53E0965C" w14:textId="77777777" w:rsidR="0054379D" w:rsidRDefault="0054379D">
      <w:pPr>
        <w:spacing w:after="0" w:line="240" w:lineRule="auto"/>
        <w:jc w:val="both"/>
        <w:rPr>
          <w:rFonts w:ascii="Arial Narrow" w:eastAsia="SimSun" w:hAnsi="Arial Narrow" w:cs="Times New Roman"/>
          <w:i/>
          <w:sz w:val="24"/>
          <w:szCs w:val="24"/>
          <w:lang w:eastAsia="zh-CN" w:bidi="bg-BG"/>
        </w:rPr>
      </w:pPr>
    </w:p>
    <w:p w14:paraId="69F51C2A" w14:textId="77777777" w:rsidR="0054379D" w:rsidRDefault="00B0312B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Arial Narrow" w:eastAsia="SimSun" w:hAnsi="Arial Narrow" w:cs="Times New Roman"/>
          <w:b/>
          <w:bCs/>
          <w:sz w:val="24"/>
          <w:szCs w:val="24"/>
          <w:lang w:eastAsia="zh-CN" w:bidi="bg-BG"/>
        </w:rPr>
      </w:pPr>
      <w:bookmarkStart w:id="3" w:name="bookmark6"/>
      <w:r>
        <w:rPr>
          <w:rFonts w:ascii="Arial Narrow" w:eastAsia="SimSun" w:hAnsi="Arial Narrow" w:cs="Times New Roman"/>
          <w:b/>
          <w:bCs/>
          <w:sz w:val="24"/>
          <w:szCs w:val="24"/>
          <w:lang w:eastAsia="zh-CN" w:bidi="bg-BG"/>
        </w:rPr>
        <w:t>Систематични или „Общи” рискове</w:t>
      </w:r>
      <w:bookmarkEnd w:id="3"/>
    </w:p>
    <w:p w14:paraId="7B4661CD" w14:textId="77777777" w:rsidR="0054379D" w:rsidRDefault="0054379D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562300EA" w14:textId="77777777" w:rsidR="0054379D" w:rsidRDefault="00B0312B">
      <w:pPr>
        <w:spacing w:after="0" w:line="240" w:lineRule="auto"/>
        <w:ind w:firstLine="360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>
        <w:rPr>
          <w:rFonts w:ascii="Arial Narrow" w:eastAsia="SimSun" w:hAnsi="Arial Narrow" w:cs="Times New Roman"/>
          <w:sz w:val="24"/>
          <w:szCs w:val="24"/>
          <w:lang w:eastAsia="zh-CN"/>
        </w:rPr>
        <w:tab/>
        <w:t>Систематичните рискове са тези, които действат извън емитента и оказват ключово влияние върху дейността и състоянието му. Те са свързани със състоянието на макроикономическата среда, политическата стабилност и процеси, регионалното развитие и др. Емитентът не би могъл да влияе върху тях, но може да ги отчете и да се съобразява с тях.</w:t>
      </w:r>
    </w:p>
    <w:p w14:paraId="17E6EC33" w14:textId="77777777" w:rsidR="0054379D" w:rsidRDefault="0054379D">
      <w:pPr>
        <w:spacing w:after="0" w:line="240" w:lineRule="auto"/>
        <w:ind w:left="720" w:firstLine="360"/>
        <w:jc w:val="both"/>
        <w:rPr>
          <w:rFonts w:ascii="Arial Narrow" w:eastAsia="SimSun" w:hAnsi="Arial Narrow" w:cs="Times New Roman"/>
          <w:i/>
          <w:sz w:val="24"/>
          <w:szCs w:val="24"/>
          <w:lang w:eastAsia="zh-CN" w:bidi="bg-BG"/>
        </w:rPr>
      </w:pPr>
    </w:p>
    <w:p w14:paraId="1100162E" w14:textId="77777777" w:rsidR="0054379D" w:rsidRDefault="00B0312B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>
        <w:rPr>
          <w:rFonts w:ascii="Arial Narrow" w:eastAsia="SimSun" w:hAnsi="Arial Narrow" w:cs="Times New Roman"/>
          <w:b/>
          <w:i/>
          <w:sz w:val="24"/>
          <w:szCs w:val="24"/>
          <w:lang w:eastAsia="zh-CN"/>
        </w:rPr>
        <w:t>Политическият риск</w:t>
      </w:r>
      <w:r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отразява влиянието на политическите процеси в страната върху стопанския и инвестиционния процес и в частност върху възвращаемостта на инвестициите. Независимо от членството ни в ЕС, политическите процеси в страната не благоприятстват инвестициите и създават непредсказуема бизнес среда.</w:t>
      </w:r>
    </w:p>
    <w:p w14:paraId="4B5F9849" w14:textId="77777777" w:rsidR="0054379D" w:rsidRDefault="0054379D">
      <w:pPr>
        <w:spacing w:after="0" w:line="240" w:lineRule="auto"/>
        <w:ind w:left="720" w:firstLine="360"/>
        <w:jc w:val="both"/>
        <w:rPr>
          <w:rFonts w:ascii="Arial Narrow" w:eastAsia="SimSun" w:hAnsi="Arial Narrow" w:cs="Times New Roman"/>
          <w:i/>
          <w:sz w:val="24"/>
          <w:szCs w:val="24"/>
          <w:lang w:eastAsia="zh-CN" w:bidi="bg-BG"/>
        </w:rPr>
      </w:pPr>
    </w:p>
    <w:p w14:paraId="2D61FD7D" w14:textId="77777777" w:rsidR="0054379D" w:rsidRDefault="00B0312B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>
        <w:rPr>
          <w:rFonts w:ascii="Arial Narrow" w:eastAsia="SimSun" w:hAnsi="Arial Narrow" w:cs="Times New Roman"/>
          <w:b/>
          <w:i/>
          <w:sz w:val="24"/>
          <w:szCs w:val="24"/>
          <w:lang w:eastAsia="zh-CN"/>
        </w:rPr>
        <w:t>Макроикономическият риск</w:t>
      </w:r>
      <w:r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се характеризира чрез основните макроикономически индикатори - брутен вътрешен продукт, валутни курсове, лихвени равнища, инфлация, бюджетен дефицит, </w:t>
      </w:r>
      <w:r>
        <w:rPr>
          <w:rFonts w:ascii="Arial Narrow" w:eastAsia="SimSun" w:hAnsi="Arial Narrow" w:cs="Times New Roman"/>
          <w:sz w:val="24"/>
          <w:szCs w:val="24"/>
          <w:lang w:eastAsia="zh-CN"/>
        </w:rPr>
        <w:lastRenderedPageBreak/>
        <w:t xml:space="preserve">безработица и др. Лихвените равнища не се отразиха пряко върху дейността на Дружеството, тъй като не е използвало банкови кредити. </w:t>
      </w:r>
    </w:p>
    <w:p w14:paraId="23467D81" w14:textId="77777777" w:rsidR="0054379D" w:rsidRDefault="0054379D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62497037" w14:textId="77777777" w:rsidR="0054379D" w:rsidRDefault="00B0312B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>
        <w:rPr>
          <w:rFonts w:ascii="Arial Narrow" w:eastAsia="SimSun" w:hAnsi="Arial Narrow" w:cs="Times New Roman"/>
          <w:b/>
          <w:i/>
          <w:sz w:val="24"/>
          <w:szCs w:val="24"/>
          <w:lang w:eastAsia="zh-CN"/>
        </w:rPr>
        <w:t>Риск от пандемии и други форсмажорни обстоятелства</w:t>
      </w:r>
      <w:r>
        <w:rPr>
          <w:rFonts w:ascii="Arial Narrow" w:eastAsia="SimSun" w:hAnsi="Arial Narrow" w:cs="Times New Roman"/>
          <w:sz w:val="24"/>
          <w:szCs w:val="24"/>
          <w:lang w:eastAsia="zh-CN"/>
        </w:rPr>
        <w:t xml:space="preserve">. Този риск беше особено актуален през изминалите години и  доведе до съществено влошаване на инвестиционната среда. Пандемията от COVID-19 е в процес на затихване и повечето  мерки и ограничения в тази връзка са само препоръчителни. </w:t>
      </w:r>
    </w:p>
    <w:p w14:paraId="3662CA38" w14:textId="77777777" w:rsidR="0054379D" w:rsidRDefault="0054379D">
      <w:pPr>
        <w:spacing w:after="0" w:line="240" w:lineRule="auto"/>
        <w:ind w:left="720" w:firstLine="360"/>
        <w:jc w:val="both"/>
        <w:rPr>
          <w:rFonts w:ascii="Arial Narrow" w:eastAsia="SimSun" w:hAnsi="Arial Narrow" w:cs="Times New Roman"/>
          <w:i/>
          <w:sz w:val="24"/>
          <w:szCs w:val="24"/>
          <w:lang w:eastAsia="zh-CN" w:bidi="bg-BG"/>
        </w:rPr>
      </w:pPr>
    </w:p>
    <w:p w14:paraId="06F490D4" w14:textId="77777777" w:rsidR="0054379D" w:rsidRDefault="00B0312B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Arial Narrow" w:eastAsia="SimSun" w:hAnsi="Arial Narrow" w:cs="Times New Roman"/>
          <w:b/>
          <w:bCs/>
          <w:sz w:val="24"/>
          <w:szCs w:val="24"/>
          <w:lang w:eastAsia="zh-CN" w:bidi="bg-BG"/>
        </w:rPr>
      </w:pPr>
      <w:bookmarkStart w:id="4" w:name="bookmark7"/>
      <w:r>
        <w:rPr>
          <w:rFonts w:ascii="Arial Narrow" w:eastAsia="SimSun" w:hAnsi="Arial Narrow" w:cs="Times New Roman"/>
          <w:b/>
          <w:bCs/>
          <w:sz w:val="24"/>
          <w:szCs w:val="24"/>
          <w:lang w:eastAsia="zh-CN" w:bidi="bg-BG"/>
        </w:rPr>
        <w:t>Несистематични рискове</w:t>
      </w:r>
      <w:bookmarkEnd w:id="4"/>
    </w:p>
    <w:p w14:paraId="6F64B741" w14:textId="77777777" w:rsidR="0054379D" w:rsidRDefault="0054379D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05D73932" w14:textId="77777777" w:rsidR="0054379D" w:rsidRDefault="00B0312B">
      <w:pPr>
        <w:spacing w:after="0" w:line="240" w:lineRule="auto"/>
        <w:ind w:firstLine="644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>
        <w:rPr>
          <w:rFonts w:ascii="Arial Narrow" w:eastAsia="SimSun" w:hAnsi="Arial Narrow" w:cs="Times New Roman"/>
          <w:sz w:val="24"/>
          <w:szCs w:val="24"/>
          <w:lang w:eastAsia="zh-CN"/>
        </w:rPr>
        <w:t>Несистематичните рискове са фирмени рискове, върху които „</w:t>
      </w:r>
      <w:proofErr w:type="spellStart"/>
      <w:r>
        <w:rPr>
          <w:rFonts w:ascii="Arial Narrow" w:eastAsia="SimSun" w:hAnsi="Arial Narrow" w:cs="Times New Roman"/>
          <w:sz w:val="24"/>
          <w:szCs w:val="24"/>
          <w:lang w:eastAsia="zh-CN"/>
        </w:rPr>
        <w:t>Колекто</w:t>
      </w:r>
      <w:proofErr w:type="spellEnd"/>
      <w:r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Кепитъл</w:t>
      </w:r>
      <w:r>
        <w:rPr>
          <w:rFonts w:ascii="Arial Narrow" w:eastAsia="SimSun" w:hAnsi="Arial Narrow" w:cs="Times New Roman"/>
          <w:sz w:val="24"/>
          <w:szCs w:val="24"/>
          <w:lang w:eastAsia="zh-CN"/>
        </w:rPr>
        <w:t>“ АДСИЦ има пряк контрол. В зависимост от пораждащите ги фактори несистематичните рискове се разделят на секторен (отраслов) риск, касаещ несигурността в развитието на отрасъла като цяло и общо фирмен риск, който обединява бизнес риска и финансовия риск.</w:t>
      </w:r>
    </w:p>
    <w:p w14:paraId="2CB9DAF4" w14:textId="77777777" w:rsidR="0054379D" w:rsidRDefault="0054379D">
      <w:pPr>
        <w:spacing w:after="0" w:line="240" w:lineRule="auto"/>
        <w:ind w:left="720" w:firstLine="360"/>
        <w:jc w:val="both"/>
        <w:rPr>
          <w:rFonts w:ascii="Arial Narrow" w:eastAsia="SimSun" w:hAnsi="Arial Narrow" w:cs="Times New Roman"/>
          <w:i/>
          <w:sz w:val="24"/>
          <w:szCs w:val="24"/>
          <w:lang w:eastAsia="zh-CN" w:bidi="bg-BG"/>
        </w:rPr>
      </w:pPr>
    </w:p>
    <w:p w14:paraId="7111876C" w14:textId="77777777" w:rsidR="0054379D" w:rsidRDefault="00B0312B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>
        <w:rPr>
          <w:rFonts w:ascii="Arial Narrow" w:eastAsia="SimSun" w:hAnsi="Arial Narrow" w:cs="Times New Roman"/>
          <w:b/>
          <w:i/>
          <w:sz w:val="24"/>
          <w:szCs w:val="24"/>
          <w:lang w:eastAsia="zh-CN"/>
        </w:rPr>
        <w:t>Секторният риск</w:t>
      </w:r>
      <w:r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се поражда от влиянието на търсенето и предлагането на услуги по управление на инвестициите, поведението на мениджмънта, конкуренцията на външни и вътрешни доставчици.</w:t>
      </w:r>
    </w:p>
    <w:p w14:paraId="488530B2" w14:textId="77777777" w:rsidR="0054379D" w:rsidRDefault="0054379D">
      <w:pPr>
        <w:spacing w:after="0" w:line="240" w:lineRule="auto"/>
        <w:ind w:left="720" w:firstLine="360"/>
        <w:jc w:val="both"/>
        <w:rPr>
          <w:rFonts w:ascii="Arial Narrow" w:eastAsia="SimSun" w:hAnsi="Arial Narrow" w:cs="Times New Roman"/>
          <w:i/>
          <w:sz w:val="24"/>
          <w:szCs w:val="24"/>
          <w:lang w:eastAsia="zh-CN" w:bidi="bg-BG"/>
        </w:rPr>
      </w:pPr>
    </w:p>
    <w:p w14:paraId="38A9FD3F" w14:textId="77777777" w:rsidR="0054379D" w:rsidRDefault="00B0312B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>
        <w:rPr>
          <w:rFonts w:ascii="Arial Narrow" w:eastAsia="SimSun" w:hAnsi="Arial Narrow" w:cs="Times New Roman"/>
          <w:b/>
          <w:i/>
          <w:sz w:val="24"/>
          <w:szCs w:val="24"/>
          <w:lang w:eastAsia="zh-CN"/>
        </w:rPr>
        <w:t>Бизнес рискът</w:t>
      </w:r>
      <w:r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е свързан със специфичната дейност на Дружеството и отразява несигурността от получаване на приходи и формиране на положителен финансов резултат. Управлението на бизнес риска по посока на неговото минимизиране за „</w:t>
      </w:r>
      <w:proofErr w:type="spellStart"/>
      <w:r>
        <w:rPr>
          <w:rFonts w:ascii="Arial Narrow" w:eastAsia="SimSun" w:hAnsi="Arial Narrow" w:cs="Times New Roman"/>
          <w:sz w:val="24"/>
          <w:szCs w:val="24"/>
          <w:lang w:eastAsia="zh-CN"/>
        </w:rPr>
        <w:t>Колекто</w:t>
      </w:r>
      <w:proofErr w:type="spellEnd"/>
      <w:r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Кепитъл</w:t>
      </w:r>
      <w:r>
        <w:rPr>
          <w:rFonts w:ascii="Arial Narrow" w:eastAsia="SimSun" w:hAnsi="Arial Narrow" w:cs="Times New Roman"/>
          <w:sz w:val="24"/>
          <w:szCs w:val="24"/>
          <w:lang w:eastAsia="zh-CN"/>
        </w:rPr>
        <w:t>“ АДСИЦ е в следните направления:</w:t>
      </w:r>
    </w:p>
    <w:p w14:paraId="6C6538E5" w14:textId="77777777" w:rsidR="0054379D" w:rsidRDefault="00B0312B">
      <w:pPr>
        <w:pStyle w:val="ad"/>
        <w:spacing w:after="0" w:line="240" w:lineRule="auto"/>
        <w:ind w:left="851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>
        <w:rPr>
          <w:rFonts w:ascii="Arial Narrow" w:eastAsia="SimSun" w:hAnsi="Arial Narrow" w:cs="Times New Roman"/>
          <w:sz w:val="24"/>
          <w:szCs w:val="24"/>
          <w:lang w:eastAsia="zh-CN" w:bidi="bg-BG"/>
        </w:rPr>
        <w:t>–  задълбочено проучване на длъжника; забраната за придобиване на вземания, които са предмет на правен спор, принудително изпълнение, или са заложени в полза на трети лица; сключване на застраховка за рискът от неплащане; включване на такси и неустойки, както при предсрочно плащане, така и при забава в плащанията; изискване на допълнителни гаранции и обезпечения. Към момента във вземанията на Дружеството не може да бъде установен значителен кредитен риск;</w:t>
      </w:r>
    </w:p>
    <w:p w14:paraId="02448F53" w14:textId="77777777" w:rsidR="0054379D" w:rsidRDefault="00B0312B">
      <w:pPr>
        <w:pStyle w:val="ad"/>
        <w:spacing w:after="0" w:line="240" w:lineRule="auto"/>
        <w:ind w:left="851"/>
        <w:jc w:val="both"/>
        <w:rPr>
          <w:rFonts w:ascii="Arial Narrow" w:eastAsia="SimSun" w:hAnsi="Arial Narrow" w:cs="Times New Roman"/>
          <w:sz w:val="24"/>
          <w:szCs w:val="24"/>
          <w:lang w:eastAsia="zh-CN" w:bidi="bg-BG"/>
        </w:rPr>
      </w:pPr>
      <w:r>
        <w:rPr>
          <w:rFonts w:ascii="Arial Narrow" w:eastAsia="SimSun" w:hAnsi="Arial Narrow" w:cs="Times New Roman"/>
          <w:sz w:val="24"/>
          <w:szCs w:val="24"/>
          <w:lang w:eastAsia="zh-CN" w:bidi="bg-BG"/>
        </w:rPr>
        <w:t>–  предпазливост при вземане на решения за инвестиции.</w:t>
      </w:r>
    </w:p>
    <w:p w14:paraId="1B3B0672" w14:textId="77777777" w:rsidR="0054379D" w:rsidRDefault="0054379D">
      <w:pPr>
        <w:spacing w:after="0" w:line="240" w:lineRule="auto"/>
        <w:ind w:left="720" w:firstLine="360"/>
        <w:jc w:val="both"/>
        <w:rPr>
          <w:rFonts w:ascii="Arial Narrow" w:eastAsia="SimSun" w:hAnsi="Arial Narrow" w:cs="Times New Roman"/>
          <w:i/>
          <w:sz w:val="24"/>
          <w:szCs w:val="24"/>
          <w:lang w:eastAsia="zh-CN" w:bidi="bg-BG"/>
        </w:rPr>
      </w:pPr>
    </w:p>
    <w:p w14:paraId="42730C19" w14:textId="77777777" w:rsidR="0054379D" w:rsidRDefault="00B0312B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>
        <w:rPr>
          <w:rFonts w:ascii="Arial Narrow" w:eastAsia="SimSun" w:hAnsi="Arial Narrow" w:cs="Times New Roman"/>
          <w:b/>
          <w:i/>
          <w:sz w:val="24"/>
          <w:szCs w:val="24"/>
          <w:lang w:eastAsia="zh-CN"/>
        </w:rPr>
        <w:t>Финансовият риск</w:t>
      </w:r>
      <w:r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показва допълнителна несигурност на кредиторите за получаване на техните вземания в случаи, когато Дружеството използва привлечени или заемни средства. Като основни измерители на финансовия риск се използват показателите за финансовата автономност и коефициент на задлъжнялост.</w:t>
      </w:r>
    </w:p>
    <w:p w14:paraId="52A3ECE7" w14:textId="77777777" w:rsidR="0054379D" w:rsidRDefault="0054379D">
      <w:pPr>
        <w:pStyle w:val="ad"/>
        <w:spacing w:after="0" w:line="240" w:lineRule="auto"/>
        <w:ind w:left="360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75C4413E" w14:textId="77777777" w:rsidR="0054379D" w:rsidRDefault="00B0312B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>
        <w:rPr>
          <w:rFonts w:ascii="Arial Narrow" w:eastAsia="SimSun" w:hAnsi="Arial Narrow" w:cs="Times New Roman"/>
          <w:b/>
          <w:i/>
          <w:sz w:val="24"/>
          <w:szCs w:val="24"/>
          <w:lang w:eastAsia="zh-CN"/>
        </w:rPr>
        <w:t>Ликвидните рискове</w:t>
      </w:r>
      <w:r>
        <w:rPr>
          <w:rFonts w:ascii="Arial Narrow" w:eastAsia="SimSun" w:hAnsi="Arial Narrow" w:cs="Times New Roman"/>
          <w:sz w:val="24"/>
          <w:szCs w:val="24"/>
          <w:lang w:eastAsia="zh-CN"/>
        </w:rPr>
        <w:t xml:space="preserve"> са свързани  с възможността Дружеството да не погаси в договорения размер или в срок свои финансови задължения.</w:t>
      </w:r>
    </w:p>
    <w:p w14:paraId="0507D3E0" w14:textId="77777777" w:rsidR="0054379D" w:rsidRDefault="0054379D">
      <w:pPr>
        <w:spacing w:after="0" w:line="240" w:lineRule="auto"/>
        <w:jc w:val="both"/>
        <w:rPr>
          <w:rFonts w:ascii="Arial Narrow" w:eastAsia="SimSun" w:hAnsi="Arial Narrow" w:cs="Times New Roman"/>
          <w:i/>
          <w:sz w:val="24"/>
          <w:szCs w:val="24"/>
          <w:lang w:eastAsia="zh-CN"/>
        </w:rPr>
      </w:pPr>
    </w:p>
    <w:p w14:paraId="1857DEAB" w14:textId="77777777" w:rsidR="0054379D" w:rsidRDefault="00B0312B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Arial Narrow" w:eastAsia="SimSun" w:hAnsi="Arial Narrow" w:cs="Times New Roman"/>
          <w:b/>
          <w:sz w:val="24"/>
          <w:szCs w:val="24"/>
          <w:lang w:eastAsia="zh-CN"/>
        </w:rPr>
      </w:pP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>Информация за сделки между Дружеството и свързани лица.</w:t>
      </w:r>
    </w:p>
    <w:p w14:paraId="7E05F2A0" w14:textId="77777777" w:rsidR="0054379D" w:rsidRDefault="0054379D">
      <w:pPr>
        <w:spacing w:after="0" w:line="240" w:lineRule="auto"/>
        <w:ind w:left="720"/>
        <w:jc w:val="both"/>
        <w:rPr>
          <w:rFonts w:ascii="Arial Narrow" w:eastAsia="SimSun" w:hAnsi="Arial Narrow" w:cs="Times New Roman"/>
          <w:b/>
          <w:i/>
          <w:sz w:val="24"/>
          <w:szCs w:val="24"/>
          <w:lang w:eastAsia="zh-CN"/>
        </w:rPr>
      </w:pPr>
    </w:p>
    <w:p w14:paraId="4539E048" w14:textId="77777777" w:rsidR="0054379D" w:rsidRDefault="00B0312B">
      <w:pPr>
        <w:spacing w:after="0" w:line="240" w:lineRule="auto"/>
        <w:ind w:firstLine="360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>
        <w:rPr>
          <w:rFonts w:ascii="Arial Narrow" w:eastAsia="SimSun" w:hAnsi="Arial Narrow" w:cs="Times New Roman"/>
          <w:sz w:val="24"/>
          <w:szCs w:val="24"/>
          <w:lang w:eastAsia="zh-CN"/>
        </w:rPr>
        <w:t>През отчетния период Дружеството не е осъществявало сделки със свързани лица.</w:t>
      </w:r>
    </w:p>
    <w:p w14:paraId="585E033F" w14:textId="77777777" w:rsidR="0054379D" w:rsidRDefault="0054379D">
      <w:pPr>
        <w:spacing w:after="0" w:line="240" w:lineRule="auto"/>
        <w:ind w:firstLine="360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29AF609A" w14:textId="77777777" w:rsidR="0054379D" w:rsidRDefault="00B0312B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Arial Narrow" w:eastAsia="SimSun" w:hAnsi="Arial Narrow" w:cs="Times New Roman"/>
          <w:b/>
          <w:sz w:val="24"/>
          <w:szCs w:val="24"/>
          <w:lang w:eastAsia="zh-CN"/>
        </w:rPr>
      </w:pP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Важни събития, настъпили след датата на отчета </w:t>
      </w:r>
    </w:p>
    <w:p w14:paraId="4819D02F" w14:textId="77777777" w:rsidR="0054379D" w:rsidRDefault="0054379D">
      <w:pPr>
        <w:pStyle w:val="ad"/>
        <w:spacing w:after="0" w:line="240" w:lineRule="auto"/>
        <w:ind w:left="360"/>
        <w:jc w:val="both"/>
        <w:rPr>
          <w:rFonts w:ascii="Arial Narrow" w:eastAsia="SimSun" w:hAnsi="Arial Narrow" w:cs="Times New Roman"/>
          <w:b/>
          <w:sz w:val="24"/>
          <w:szCs w:val="24"/>
          <w:lang w:eastAsia="zh-CN"/>
        </w:rPr>
      </w:pPr>
    </w:p>
    <w:p w14:paraId="2154658E" w14:textId="77777777" w:rsidR="0054379D" w:rsidRDefault="00B0312B">
      <w:pPr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bookmarkStart w:id="5" w:name="_Hlk157547604"/>
      <w:r>
        <w:rPr>
          <w:rFonts w:ascii="Arial Narrow" w:hAnsi="Arial Narrow"/>
          <w:sz w:val="24"/>
          <w:szCs w:val="24"/>
        </w:rPr>
        <w:t xml:space="preserve">Не са възникнали други коригиращи събития или значителни </w:t>
      </w:r>
      <w:proofErr w:type="spellStart"/>
      <w:r>
        <w:rPr>
          <w:rFonts w:ascii="Arial Narrow" w:hAnsi="Arial Narrow"/>
          <w:sz w:val="24"/>
          <w:szCs w:val="24"/>
        </w:rPr>
        <w:t>некоригиращи</w:t>
      </w:r>
      <w:proofErr w:type="spellEnd"/>
      <w:r>
        <w:rPr>
          <w:rFonts w:ascii="Arial Narrow" w:hAnsi="Arial Narrow"/>
          <w:sz w:val="24"/>
          <w:szCs w:val="24"/>
        </w:rPr>
        <w:t xml:space="preserve"> събития между датата на финансовия отчет и датата на одобрението му за публикуване. </w:t>
      </w:r>
      <w:bookmarkEnd w:id="5"/>
    </w:p>
    <w:p w14:paraId="3DC8C131" w14:textId="77777777" w:rsidR="0054379D" w:rsidRDefault="0054379D">
      <w:pPr>
        <w:pStyle w:val="ad"/>
        <w:spacing w:after="0" w:line="240" w:lineRule="auto"/>
        <w:jc w:val="both"/>
        <w:rPr>
          <w:rFonts w:ascii="Arial Narrow" w:eastAsia="SimSun" w:hAnsi="Arial Narrow" w:cs="Times New Roman"/>
          <w:b/>
          <w:sz w:val="24"/>
          <w:szCs w:val="24"/>
          <w:lang w:eastAsia="zh-CN"/>
        </w:rPr>
      </w:pPr>
    </w:p>
    <w:p w14:paraId="59A84F03" w14:textId="77777777" w:rsidR="0054379D" w:rsidRDefault="0054379D">
      <w:pPr>
        <w:spacing w:after="0" w:line="240" w:lineRule="auto"/>
        <w:ind w:firstLine="360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28EC1A9B" w14:textId="77777777" w:rsidR="0054379D" w:rsidRDefault="0054379D">
      <w:pPr>
        <w:spacing w:after="0" w:line="240" w:lineRule="auto"/>
        <w:ind w:firstLine="360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04C57119" w14:textId="77777777" w:rsidR="0054379D" w:rsidRDefault="0054379D">
      <w:pPr>
        <w:spacing w:after="0" w:line="240" w:lineRule="auto"/>
        <w:ind w:firstLine="360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14:paraId="259075D2" w14:textId="76C2A6C1" w:rsidR="0054379D" w:rsidRDefault="00B0312B">
      <w:pPr>
        <w:spacing w:after="0" w:line="240" w:lineRule="auto"/>
        <w:ind w:firstLine="360"/>
        <w:jc w:val="both"/>
        <w:rPr>
          <w:rFonts w:ascii="Arial Narrow" w:eastAsia="SimSun" w:hAnsi="Arial Narrow" w:cs="Times New Roman"/>
          <w:b/>
          <w:sz w:val="24"/>
          <w:szCs w:val="24"/>
          <w:lang w:val="ru-RU" w:eastAsia="zh-CN"/>
        </w:rPr>
      </w:pP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>2</w:t>
      </w:r>
      <w:r w:rsidR="00CD685B">
        <w:rPr>
          <w:rFonts w:ascii="Arial Narrow" w:eastAsia="SimSun" w:hAnsi="Arial Narrow" w:cs="Times New Roman"/>
          <w:b/>
          <w:sz w:val="24"/>
          <w:szCs w:val="24"/>
          <w:lang w:eastAsia="zh-CN"/>
        </w:rPr>
        <w:t>4</w:t>
      </w: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>.0</w:t>
      </w: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>4</w:t>
      </w: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 xml:space="preserve">.2026 г. </w:t>
      </w: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</w: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</w: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  <w:t xml:space="preserve">        Изпълнителен директор: </w:t>
      </w:r>
      <w:r>
        <w:rPr>
          <w:rFonts w:ascii="Arial Narrow" w:eastAsia="SimSun" w:hAnsi="Arial Narrow" w:cs="Times New Roman"/>
          <w:b/>
          <w:sz w:val="24"/>
          <w:szCs w:val="24"/>
          <w:lang w:val="ru-RU" w:eastAsia="zh-CN"/>
        </w:rPr>
        <w:t>_________________________</w:t>
      </w:r>
    </w:p>
    <w:p w14:paraId="3204B36F" w14:textId="77777777" w:rsidR="0054379D" w:rsidRDefault="00B0312B">
      <w:pPr>
        <w:spacing w:after="0" w:line="240" w:lineRule="auto"/>
        <w:rPr>
          <w:rFonts w:ascii="Arial Narrow" w:eastAsia="SimSun" w:hAnsi="Arial Narrow" w:cs="Times New Roman"/>
          <w:b/>
          <w:sz w:val="24"/>
          <w:szCs w:val="24"/>
          <w:lang w:eastAsia="zh-CN"/>
        </w:rPr>
      </w:pPr>
      <w:r>
        <w:rPr>
          <w:rFonts w:ascii="Arial Narrow" w:eastAsia="SimSun" w:hAnsi="Arial Narrow" w:cs="Times New Roman"/>
          <w:b/>
          <w:sz w:val="24"/>
          <w:szCs w:val="24"/>
          <w:lang w:val="ru-RU" w:eastAsia="zh-CN"/>
        </w:rPr>
        <w:t xml:space="preserve">      </w:t>
      </w: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>гр. София</w:t>
      </w: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</w: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</w: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</w: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</w: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</w: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</w: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</w: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ab/>
        <w:t xml:space="preserve">              </w:t>
      </w:r>
      <w:r>
        <w:rPr>
          <w:rFonts w:ascii="Arial Narrow" w:eastAsia="SimSun" w:hAnsi="Arial Narrow" w:cs="Times New Roman"/>
          <w:b/>
          <w:sz w:val="24"/>
          <w:szCs w:val="24"/>
          <w:lang w:val="ru-RU" w:eastAsia="zh-CN"/>
        </w:rPr>
        <w:t xml:space="preserve">   </w:t>
      </w:r>
      <w:r>
        <w:rPr>
          <w:rFonts w:ascii="Arial Narrow" w:eastAsia="SimSun" w:hAnsi="Arial Narrow" w:cs="Times New Roman"/>
          <w:b/>
          <w:sz w:val="24"/>
          <w:szCs w:val="24"/>
          <w:lang w:eastAsia="zh-CN"/>
        </w:rPr>
        <w:t>Иван Пирински</w:t>
      </w:r>
    </w:p>
    <w:sectPr w:rsidR="0054379D">
      <w:headerReference w:type="default" r:id="rId8"/>
      <w:footerReference w:type="default" r:id="rId9"/>
      <w:pgSz w:w="11906" w:h="16838"/>
      <w:pgMar w:top="1134" w:right="1133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6EE96" w14:textId="77777777" w:rsidR="00B0312B" w:rsidRDefault="00B0312B">
      <w:pPr>
        <w:spacing w:line="240" w:lineRule="auto"/>
      </w:pPr>
      <w:r>
        <w:separator/>
      </w:r>
    </w:p>
  </w:endnote>
  <w:endnote w:type="continuationSeparator" w:id="0">
    <w:p w14:paraId="2711E423" w14:textId="77777777" w:rsidR="00B0312B" w:rsidRDefault="00B031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aramond">
    <w:panose1 w:val="02020404030301010803"/>
    <w:charset w:val="CC"/>
    <w:family w:val="roman"/>
    <w:pitch w:val="default"/>
    <w:sig w:usb0="00000287" w:usb1="00000000" w:usb2="00000000" w:usb3="00000000" w:csb0="0000009F" w:csb1="DFD7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901438"/>
      <w:docPartObj>
        <w:docPartGallery w:val="AutoText"/>
      </w:docPartObj>
    </w:sdtPr>
    <w:sdtEndPr/>
    <w:sdtContent>
      <w:p w14:paraId="3DA86715" w14:textId="77777777" w:rsidR="0054379D" w:rsidRDefault="00B0312B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A2EBC" w14:textId="77777777" w:rsidR="00B0312B" w:rsidRDefault="00B0312B">
      <w:pPr>
        <w:spacing w:after="0"/>
      </w:pPr>
      <w:r>
        <w:separator/>
      </w:r>
    </w:p>
  </w:footnote>
  <w:footnote w:type="continuationSeparator" w:id="0">
    <w:p w14:paraId="53A48F06" w14:textId="77777777" w:rsidR="00B0312B" w:rsidRDefault="00B031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8387" w14:textId="77777777" w:rsidR="0054379D" w:rsidRDefault="00B0312B">
    <w:pPr>
      <w:widowControl w:val="0"/>
      <w:pBdr>
        <w:bottom w:val="single" w:sz="4" w:space="1" w:color="auto"/>
      </w:pBdr>
      <w:tabs>
        <w:tab w:val="center" w:pos="4536"/>
        <w:tab w:val="right" w:pos="9072"/>
      </w:tabs>
      <w:autoSpaceDE w:val="0"/>
      <w:autoSpaceDN w:val="0"/>
      <w:spacing w:after="0" w:line="240" w:lineRule="auto"/>
      <w:rPr>
        <w:rFonts w:ascii="Arial Narrow" w:eastAsia="Times New Roman" w:hAnsi="Arial Narrow" w:cs="Calibri"/>
        <w:i/>
        <w:iCs/>
        <w:sz w:val="24"/>
        <w:szCs w:val="24"/>
      </w:rPr>
    </w:pPr>
    <w:r>
      <w:rPr>
        <w:rFonts w:ascii="Arial Narrow" w:eastAsia="Times New Roman" w:hAnsi="Arial Narrow" w:cs="Times New Roman"/>
        <w:b/>
        <w:bCs/>
        <w:kern w:val="32"/>
        <w:sz w:val="28"/>
        <w:szCs w:val="32"/>
        <w:lang w:eastAsia="zh-CN"/>
      </w:rPr>
      <w:t>„</w:t>
    </w:r>
    <w:proofErr w:type="spellStart"/>
    <w:r>
      <w:rPr>
        <w:rFonts w:ascii="Arial Narrow" w:eastAsia="Times New Roman" w:hAnsi="Arial Narrow" w:cs="Times New Roman"/>
        <w:b/>
        <w:bCs/>
        <w:kern w:val="32"/>
        <w:sz w:val="28"/>
        <w:szCs w:val="32"/>
        <w:lang w:eastAsia="zh-CN"/>
      </w:rPr>
      <w:t>Колекто</w:t>
    </w:r>
    <w:proofErr w:type="spellEnd"/>
    <w:r>
      <w:rPr>
        <w:rFonts w:ascii="Arial Narrow" w:eastAsia="Times New Roman" w:hAnsi="Arial Narrow" w:cs="Times New Roman"/>
        <w:b/>
        <w:bCs/>
        <w:kern w:val="32"/>
        <w:sz w:val="28"/>
        <w:szCs w:val="32"/>
        <w:lang w:eastAsia="zh-CN"/>
      </w:rPr>
      <w:t xml:space="preserve"> Кепитъл“ АДСИЦ  </w:t>
    </w:r>
  </w:p>
  <w:p w14:paraId="309085AB" w14:textId="77777777" w:rsidR="0054379D" w:rsidRDefault="0054379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B65CB"/>
    <w:multiLevelType w:val="multilevel"/>
    <w:tmpl w:val="0D7B65CB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FA5998"/>
    <w:multiLevelType w:val="multilevel"/>
    <w:tmpl w:val="2FFA599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B0291D"/>
    <w:multiLevelType w:val="multilevel"/>
    <w:tmpl w:val="49B0291D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5023AE"/>
    <w:multiLevelType w:val="multilevel"/>
    <w:tmpl w:val="555023A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4255A"/>
    <w:multiLevelType w:val="multilevel"/>
    <w:tmpl w:val="6EC4255A"/>
    <w:lvl w:ilvl="0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 w15:restartNumberingAfterBreak="0">
    <w:nsid w:val="72B27786"/>
    <w:multiLevelType w:val="multilevel"/>
    <w:tmpl w:val="72B277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11438768">
    <w:abstractNumId w:val="5"/>
  </w:num>
  <w:num w:numId="2" w16cid:durableId="1983923413">
    <w:abstractNumId w:val="2"/>
  </w:num>
  <w:num w:numId="3" w16cid:durableId="372077422">
    <w:abstractNumId w:val="4"/>
  </w:num>
  <w:num w:numId="4" w16cid:durableId="1984043401">
    <w:abstractNumId w:val="3"/>
  </w:num>
  <w:num w:numId="5" w16cid:durableId="300505698">
    <w:abstractNumId w:val="1"/>
  </w:num>
  <w:num w:numId="6" w16cid:durableId="789663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587"/>
    <w:rsid w:val="00007CA2"/>
    <w:rsid w:val="0001545B"/>
    <w:rsid w:val="000204F2"/>
    <w:rsid w:val="00020A70"/>
    <w:rsid w:val="00056161"/>
    <w:rsid w:val="00091157"/>
    <w:rsid w:val="000B7EF0"/>
    <w:rsid w:val="000E0705"/>
    <w:rsid w:val="001273E0"/>
    <w:rsid w:val="00144587"/>
    <w:rsid w:val="0014753F"/>
    <w:rsid w:val="00160E81"/>
    <w:rsid w:val="001619AE"/>
    <w:rsid w:val="00166898"/>
    <w:rsid w:val="00190B24"/>
    <w:rsid w:val="001C67D9"/>
    <w:rsid w:val="001F6812"/>
    <w:rsid w:val="00223AEC"/>
    <w:rsid w:val="00231F4C"/>
    <w:rsid w:val="00245E01"/>
    <w:rsid w:val="00247B7E"/>
    <w:rsid w:val="00276F02"/>
    <w:rsid w:val="002847D1"/>
    <w:rsid w:val="00293AF0"/>
    <w:rsid w:val="002A44AF"/>
    <w:rsid w:val="002F7A24"/>
    <w:rsid w:val="0032719F"/>
    <w:rsid w:val="003423FC"/>
    <w:rsid w:val="00343360"/>
    <w:rsid w:val="003651D6"/>
    <w:rsid w:val="003763E1"/>
    <w:rsid w:val="003830A6"/>
    <w:rsid w:val="003954CB"/>
    <w:rsid w:val="003A3512"/>
    <w:rsid w:val="003A467D"/>
    <w:rsid w:val="003A69C0"/>
    <w:rsid w:val="003B1C32"/>
    <w:rsid w:val="003C18AB"/>
    <w:rsid w:val="003C4EC9"/>
    <w:rsid w:val="003D5E52"/>
    <w:rsid w:val="003E0809"/>
    <w:rsid w:val="003E180C"/>
    <w:rsid w:val="003E22AC"/>
    <w:rsid w:val="00405248"/>
    <w:rsid w:val="004063C8"/>
    <w:rsid w:val="004072F3"/>
    <w:rsid w:val="00416CDB"/>
    <w:rsid w:val="00437AF8"/>
    <w:rsid w:val="0044096E"/>
    <w:rsid w:val="00452593"/>
    <w:rsid w:val="004675FC"/>
    <w:rsid w:val="004926EE"/>
    <w:rsid w:val="004B24BF"/>
    <w:rsid w:val="004B541A"/>
    <w:rsid w:val="004E1018"/>
    <w:rsid w:val="004F2280"/>
    <w:rsid w:val="00502F60"/>
    <w:rsid w:val="00523CAE"/>
    <w:rsid w:val="00536BDE"/>
    <w:rsid w:val="0054379D"/>
    <w:rsid w:val="0055604A"/>
    <w:rsid w:val="00564A6C"/>
    <w:rsid w:val="0057205A"/>
    <w:rsid w:val="00577A1E"/>
    <w:rsid w:val="00596540"/>
    <w:rsid w:val="005A6E0D"/>
    <w:rsid w:val="005A7851"/>
    <w:rsid w:val="005B4F9F"/>
    <w:rsid w:val="005B5E59"/>
    <w:rsid w:val="005E3302"/>
    <w:rsid w:val="005E3FA0"/>
    <w:rsid w:val="005F26F0"/>
    <w:rsid w:val="005F327D"/>
    <w:rsid w:val="00651422"/>
    <w:rsid w:val="0066475E"/>
    <w:rsid w:val="006774D7"/>
    <w:rsid w:val="0069154B"/>
    <w:rsid w:val="006A0D5C"/>
    <w:rsid w:val="006D4F8D"/>
    <w:rsid w:val="006E2BDC"/>
    <w:rsid w:val="006E7E02"/>
    <w:rsid w:val="006F0CEA"/>
    <w:rsid w:val="007040AA"/>
    <w:rsid w:val="00720F48"/>
    <w:rsid w:val="00722AF1"/>
    <w:rsid w:val="007232F1"/>
    <w:rsid w:val="00736CCF"/>
    <w:rsid w:val="00743B4B"/>
    <w:rsid w:val="00754997"/>
    <w:rsid w:val="007551FA"/>
    <w:rsid w:val="007643FC"/>
    <w:rsid w:val="007B57B3"/>
    <w:rsid w:val="007B66E4"/>
    <w:rsid w:val="007C5B2E"/>
    <w:rsid w:val="007D2192"/>
    <w:rsid w:val="007F37A7"/>
    <w:rsid w:val="008410F6"/>
    <w:rsid w:val="00851DF5"/>
    <w:rsid w:val="00867245"/>
    <w:rsid w:val="00873FAB"/>
    <w:rsid w:val="00874952"/>
    <w:rsid w:val="00883F61"/>
    <w:rsid w:val="00886E2C"/>
    <w:rsid w:val="00890401"/>
    <w:rsid w:val="008D44A7"/>
    <w:rsid w:val="008F4E8B"/>
    <w:rsid w:val="00922C6F"/>
    <w:rsid w:val="00931A88"/>
    <w:rsid w:val="009463FD"/>
    <w:rsid w:val="009678DB"/>
    <w:rsid w:val="00975B22"/>
    <w:rsid w:val="009B1167"/>
    <w:rsid w:val="009B1C07"/>
    <w:rsid w:val="00A25592"/>
    <w:rsid w:val="00A63C6C"/>
    <w:rsid w:val="00A71B8B"/>
    <w:rsid w:val="00A900A1"/>
    <w:rsid w:val="00AA16DC"/>
    <w:rsid w:val="00AA5A3E"/>
    <w:rsid w:val="00AB78EE"/>
    <w:rsid w:val="00AC4B23"/>
    <w:rsid w:val="00B0312B"/>
    <w:rsid w:val="00B14A2C"/>
    <w:rsid w:val="00B16BE1"/>
    <w:rsid w:val="00B2175B"/>
    <w:rsid w:val="00B34E7D"/>
    <w:rsid w:val="00B5520D"/>
    <w:rsid w:val="00B64AE3"/>
    <w:rsid w:val="00B87F57"/>
    <w:rsid w:val="00BD2B62"/>
    <w:rsid w:val="00BD4C47"/>
    <w:rsid w:val="00BE2347"/>
    <w:rsid w:val="00BE5028"/>
    <w:rsid w:val="00BF18B3"/>
    <w:rsid w:val="00C1601E"/>
    <w:rsid w:val="00C41BA1"/>
    <w:rsid w:val="00C5190F"/>
    <w:rsid w:val="00C7058C"/>
    <w:rsid w:val="00C70F35"/>
    <w:rsid w:val="00C71B78"/>
    <w:rsid w:val="00C8050C"/>
    <w:rsid w:val="00C8099F"/>
    <w:rsid w:val="00C82959"/>
    <w:rsid w:val="00CD685B"/>
    <w:rsid w:val="00CD6A8B"/>
    <w:rsid w:val="00CF18CF"/>
    <w:rsid w:val="00CF453F"/>
    <w:rsid w:val="00CF4B29"/>
    <w:rsid w:val="00CF7EE9"/>
    <w:rsid w:val="00D0424E"/>
    <w:rsid w:val="00D11B36"/>
    <w:rsid w:val="00D14F05"/>
    <w:rsid w:val="00D226F4"/>
    <w:rsid w:val="00D30D61"/>
    <w:rsid w:val="00D4478B"/>
    <w:rsid w:val="00DB30FC"/>
    <w:rsid w:val="00DD662E"/>
    <w:rsid w:val="00DE1CC0"/>
    <w:rsid w:val="00DE7AE5"/>
    <w:rsid w:val="00E3678A"/>
    <w:rsid w:val="00E50F7E"/>
    <w:rsid w:val="00E60402"/>
    <w:rsid w:val="00E606E6"/>
    <w:rsid w:val="00E862AD"/>
    <w:rsid w:val="00EB284E"/>
    <w:rsid w:val="00EB7B08"/>
    <w:rsid w:val="00F43F9F"/>
    <w:rsid w:val="00F475E6"/>
    <w:rsid w:val="00F62E5A"/>
    <w:rsid w:val="00F64146"/>
    <w:rsid w:val="00FB4E82"/>
    <w:rsid w:val="00FD1A00"/>
    <w:rsid w:val="00FE5C86"/>
    <w:rsid w:val="00FF44B8"/>
    <w:rsid w:val="49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AE02"/>
  <w15:docId w15:val="{F4AB672D-B8DD-4B93-98EA-D2A30B98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qFormat/>
    <w:pPr>
      <w:suppressAutoHyphens/>
      <w:spacing w:after="284" w:line="280" w:lineRule="atLeast"/>
    </w:pPr>
    <w:rPr>
      <w:rFonts w:ascii="Garamond" w:eastAsia="Times New Roman" w:hAnsi="Garamond" w:cs="Arial"/>
      <w:szCs w:val="20"/>
      <w:lang w:val="zh-CN" w:eastAsia="ar-SA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орен колонтитул Знак"/>
    <w:basedOn w:val="a0"/>
    <w:link w:val="a9"/>
    <w:uiPriority w:val="99"/>
    <w:qFormat/>
  </w:style>
  <w:style w:type="character" w:customStyle="1" w:styleId="a8">
    <w:name w:val="Долен колонтитул Знак"/>
    <w:basedOn w:val="a0"/>
    <w:link w:val="a7"/>
    <w:uiPriority w:val="99"/>
    <w:qFormat/>
  </w:style>
  <w:style w:type="character" w:customStyle="1" w:styleId="a4">
    <w:name w:val="Изнесен текст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link w:val="ae"/>
    <w:uiPriority w:val="1"/>
    <w:qFormat/>
    <w:pPr>
      <w:ind w:left="720"/>
      <w:contextualSpacing/>
    </w:pPr>
  </w:style>
  <w:style w:type="character" w:customStyle="1" w:styleId="ae">
    <w:name w:val="Списък на абзаци Знак"/>
    <w:basedOn w:val="a0"/>
    <w:link w:val="ad"/>
    <w:uiPriority w:val="1"/>
    <w:qFormat/>
  </w:style>
  <w:style w:type="character" w:customStyle="1" w:styleId="1">
    <w:name w:val="Неразрешено споменаване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12">
    <w:name w:val="Table Grid112"/>
    <w:basedOn w:val="a1"/>
    <w:qFormat/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ен текст Знак"/>
    <w:basedOn w:val="a0"/>
    <w:link w:val="a5"/>
    <w:qFormat/>
    <w:rPr>
      <w:rFonts w:ascii="Garamond" w:eastAsia="Times New Roman" w:hAnsi="Garamond" w:cs="Arial"/>
      <w:szCs w:val="20"/>
      <w:lang w:val="zh-CN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vestor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1297</Words>
  <Characters>7393</Characters>
  <Application>Microsoft Office Word</Application>
  <DocSecurity>0</DocSecurity>
  <Lines>61</Lines>
  <Paragraphs>17</Paragraphs>
  <ScaleCrop>false</ScaleCrop>
  <Company>ELANA</Company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 Georgiev</dc:creator>
  <cp:lastModifiedBy>me</cp:lastModifiedBy>
  <cp:revision>9</cp:revision>
  <cp:lastPrinted>2020-07-01T12:32:00Z</cp:lastPrinted>
  <dcterms:created xsi:type="dcterms:W3CDTF">2025-07-16T07:55:00Z</dcterms:created>
  <dcterms:modified xsi:type="dcterms:W3CDTF">2026-04-24T12:32:00Z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eyJoZGlkIjoiMDc4OGYwMzY5OTY1YmJjNzA1ZmUyNTM3NzhmMTliMzcifQ==</vt:lpwstr>
  </property>
  <property fmtid="{D5CDD505-2E9C-101B-9397-08002B2CF9AE}" pid="3" name="KSOProductBuildVer">
    <vt:lpwstr>1033-12.1.0.25242</vt:lpwstr>
  </property>
  <property fmtid="{D5CDD505-2E9C-101B-9397-08002B2CF9AE}" pid="4" name="ICV">
    <vt:lpwstr>3E38FB4B152A446385950A2443275B5B_13</vt:lpwstr>
  </property>
</Properties>
</file>