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842"/>
        <w:gridCol w:w="1560"/>
        <w:gridCol w:w="1559"/>
        <w:gridCol w:w="2126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A35C8">
              <w:rPr>
                <w:b/>
                <w:sz w:val="22"/>
                <w:lang w:val="ru-RU"/>
              </w:rPr>
              <w:t>15.01.2026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8A35C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560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8A35C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8A35C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E6FB5" w:rsidRPr="008A35C8" w:rsidRDefault="008A35C8" w:rsidP="008A35C8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8A35C8">
              <w:rPr>
                <w:b/>
                <w:sz w:val="22"/>
                <w:lang w:val="bg-BG"/>
              </w:rPr>
              <w:t>40.6865 евро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8A35C8" w:rsidRDefault="008A35C8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8A35C8">
              <w:rPr>
                <w:b/>
                <w:sz w:val="22"/>
                <w:lang w:val="bg-BG"/>
              </w:rPr>
              <w:t xml:space="preserve">40.6865 </w:t>
            </w:r>
            <w:r w:rsidRPr="008A35C8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8A35C8" w:rsidRDefault="008A35C8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8A35C8">
              <w:rPr>
                <w:b/>
                <w:sz w:val="22"/>
                <w:lang w:val="bg-BG"/>
              </w:rPr>
              <w:t xml:space="preserve">40.6865 </w:t>
            </w:r>
            <w:r w:rsidRPr="008A35C8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2126" w:type="dxa"/>
            <w:vMerge w:val="restart"/>
            <w:vAlign w:val="center"/>
          </w:tcPr>
          <w:p w:rsidR="00FE6FB5" w:rsidRPr="00B95415" w:rsidRDefault="008A35C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8A35C8">
              <w:rPr>
                <w:b/>
                <w:sz w:val="22"/>
                <w:lang w:val="bg-BG"/>
              </w:rPr>
              <w:t xml:space="preserve">25 760 550.73 </w:t>
            </w:r>
            <w:r w:rsidRPr="008A35C8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8A35C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8A35C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A35C8">
              <w:rPr>
                <w:b/>
                <w:sz w:val="22"/>
                <w:lang w:val="en-US"/>
              </w:rPr>
              <w:t>15.01.2026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A35C8" w:rsidP="008A35C8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40.6865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A35C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 xml:space="preserve">40.6865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A35C8" w:rsidP="008A35C8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 xml:space="preserve">40.6865 </w:t>
            </w:r>
            <w:r>
              <w:rPr>
                <w:b/>
                <w:sz w:val="22"/>
                <w:lang w:val="en-US"/>
              </w:rPr>
              <w:t>EUR</w:t>
            </w:r>
            <w:r>
              <w:rPr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A35C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25 760 550.</w:t>
            </w:r>
            <w:bookmarkStart w:id="14" w:name="_GoBack"/>
            <w:bookmarkEnd w:id="14"/>
            <w:r>
              <w:rPr>
                <w:b/>
                <w:sz w:val="22"/>
                <w:lang w:val="en-US"/>
              </w:rPr>
              <w:t xml:space="preserve">73 </w:t>
            </w:r>
            <w:r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A35C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C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35C8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2F83D4"/>
  <w15:chartTrackingRefBased/>
  <w15:docId w15:val="{2E9448F7-BA2A-45E7-BD00-4258A66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72C2-C348-4FB0-8DE4-F592D876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1692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2026-01-16T11:58:00Z</dcterms:created>
  <dcterms:modified xsi:type="dcterms:W3CDTF">2026-01-16T11:59:00Z</dcterms:modified>
</cp:coreProperties>
</file>