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559"/>
        <w:gridCol w:w="1984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D5672">
              <w:rPr>
                <w:b/>
                <w:sz w:val="22"/>
                <w:lang w:val="ru-RU"/>
              </w:rPr>
              <w:t>22.01.2026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AD56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AD56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AD567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AD5672" w:rsidRDefault="00AD5672" w:rsidP="00AD5672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AD5672">
              <w:rPr>
                <w:b/>
                <w:sz w:val="22"/>
                <w:lang w:val="bg-BG"/>
              </w:rPr>
              <w:t>40.8510 евро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AD5672" w:rsidRDefault="00AD56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AD5672">
              <w:rPr>
                <w:b/>
                <w:sz w:val="22"/>
                <w:lang w:val="bg-BG"/>
              </w:rPr>
              <w:t xml:space="preserve">40.8510 </w:t>
            </w:r>
            <w:r w:rsidRPr="00AD5672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59" w:type="dxa"/>
            <w:vMerge w:val="restart"/>
            <w:vAlign w:val="center"/>
          </w:tcPr>
          <w:p w:rsidR="00FE6FB5" w:rsidRPr="00AD5672" w:rsidRDefault="00AD56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AD5672">
              <w:rPr>
                <w:b/>
                <w:sz w:val="22"/>
                <w:lang w:val="bg-BG"/>
              </w:rPr>
              <w:t xml:space="preserve">40.8510 </w:t>
            </w:r>
            <w:r w:rsidRPr="00AD5672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984" w:type="dxa"/>
            <w:vMerge w:val="restart"/>
            <w:vAlign w:val="center"/>
          </w:tcPr>
          <w:p w:rsidR="00FE6FB5" w:rsidRPr="00B95415" w:rsidRDefault="00AD56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AD5672">
              <w:rPr>
                <w:b/>
                <w:sz w:val="22"/>
                <w:lang w:val="bg-BG"/>
              </w:rPr>
              <w:t xml:space="preserve">25 864 703.33 </w:t>
            </w:r>
            <w:r w:rsidRPr="00AD5672">
              <w:rPr>
                <w:b/>
                <w:sz w:val="22"/>
                <w:lang w:val="bg-BG"/>
              </w:rPr>
              <w:t>евро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D567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AD5672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D5672">
              <w:rPr>
                <w:b/>
                <w:sz w:val="22"/>
                <w:lang w:val="en-US"/>
              </w:rPr>
              <w:t>22.01.2026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D5672" w:rsidP="00AD567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40.8510EUR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D5672" w:rsidP="00AD567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40.8510EUR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D5672" w:rsidP="00AD567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40.8510EUR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D5672" w:rsidP="00AD567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25 864 703.33EUR</w:t>
            </w:r>
            <w:bookmarkStart w:id="14" w:name="_GoBack"/>
            <w:bookmarkEnd w:id="14"/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D567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7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5672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BF2222"/>
  <w15:chartTrackingRefBased/>
  <w15:docId w15:val="{BF445414-6677-413F-8EE0-79758CE8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A4A2-2CAD-49C2-B4B9-A8454199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1687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2026-01-23T12:39:00Z</dcterms:created>
  <dcterms:modified xsi:type="dcterms:W3CDTF">2026-01-23T12:40:00Z</dcterms:modified>
</cp:coreProperties>
</file>