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64DF8">
              <w:rPr>
                <w:b/>
                <w:sz w:val="22"/>
                <w:lang w:val="ru-RU"/>
              </w:rPr>
              <w:t>31.03.2026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364DF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364DF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364DF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364DF8" w:rsidRDefault="00364D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364DF8">
              <w:rPr>
                <w:b/>
                <w:sz w:val="22"/>
                <w:lang w:val="bg-BG"/>
              </w:rPr>
              <w:t>40.8008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364DF8" w:rsidRDefault="00364D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364DF8">
              <w:rPr>
                <w:b/>
                <w:sz w:val="22"/>
                <w:lang w:val="bg-BG"/>
              </w:rPr>
              <w:t>40.8008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364DF8" w:rsidRDefault="00364D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364DF8">
              <w:rPr>
                <w:b/>
                <w:sz w:val="22"/>
                <w:lang w:val="bg-BG"/>
              </w:rPr>
              <w:t>40.8008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364D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364DF8">
              <w:rPr>
                <w:b/>
                <w:sz w:val="22"/>
                <w:lang w:val="bg-BG"/>
              </w:rPr>
              <w:t>25 982 300.44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364DF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364DF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64DF8">
              <w:rPr>
                <w:b/>
                <w:sz w:val="22"/>
                <w:lang w:val="en-US"/>
              </w:rPr>
              <w:t>31.03.2026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364DF8" w:rsidRDefault="00364D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364DF8">
              <w:rPr>
                <w:b/>
                <w:sz w:val="22"/>
                <w:lang w:val="bg-BG"/>
              </w:rPr>
              <w:t>40.8008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364DF8" w:rsidRDefault="00364D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364DF8">
              <w:rPr>
                <w:b/>
                <w:sz w:val="22"/>
                <w:lang w:val="bg-BG"/>
              </w:rPr>
              <w:t>40.8008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364DF8" w:rsidRDefault="00364D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364DF8">
              <w:rPr>
                <w:b/>
                <w:sz w:val="22"/>
                <w:lang w:val="bg-BG"/>
              </w:rPr>
              <w:t>40.8008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64D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364DF8">
              <w:rPr>
                <w:b/>
                <w:sz w:val="22"/>
                <w:lang w:val="bg-BG"/>
              </w:rPr>
              <w:t>25 982 300.44</w:t>
            </w:r>
            <w:r w:rsidR="00E733BB" w:rsidRPr="00364DF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64DF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  <w:bookmarkStart w:id="15" w:name="_GoBack"/>
            <w:bookmarkEnd w:id="15"/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F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64DF8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F561-A4DF-4574-833F-6B83CE60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7365-3B29-40EF-AB53-55772752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2026-04-01T12:24:00Z</dcterms:created>
  <dcterms:modified xsi:type="dcterms:W3CDTF">2026-04-01T12:28:00Z</dcterms:modified>
</cp:coreProperties>
</file>