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843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6E43">
              <w:rPr>
                <w:b/>
                <w:sz w:val="22"/>
                <w:lang w:val="ru-RU"/>
              </w:rPr>
              <w:t>02.06.2026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236E4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7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236E4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236E4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FB5" w:rsidRPr="00236E43" w:rsidRDefault="00236E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236E43">
              <w:rPr>
                <w:b/>
                <w:sz w:val="22"/>
                <w:lang w:val="bg-BG"/>
              </w:rPr>
              <w:t>40.6626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FE6FB5" w:rsidRPr="00236E43" w:rsidRDefault="00236E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236E43">
              <w:rPr>
                <w:b/>
                <w:sz w:val="22"/>
                <w:lang w:val="bg-BG"/>
              </w:rPr>
              <w:t>40.6626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FE6FB5" w:rsidRPr="00236E43" w:rsidRDefault="00236E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36E43">
              <w:rPr>
                <w:b/>
                <w:sz w:val="22"/>
                <w:lang w:val="bg-BG"/>
              </w:rPr>
              <w:t>40.6626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236E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36E43">
              <w:rPr>
                <w:b/>
                <w:sz w:val="22"/>
                <w:lang w:val="bg-BG"/>
              </w:rPr>
              <w:t>25 894 254.71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6E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236E43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6E43">
              <w:rPr>
                <w:b/>
                <w:sz w:val="22"/>
                <w:lang w:val="en-US"/>
              </w:rPr>
              <w:t>02.06.2026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36E43" w:rsidRDefault="00236E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236E43">
              <w:rPr>
                <w:b/>
                <w:sz w:val="22"/>
                <w:lang w:val="bg-BG"/>
              </w:rPr>
              <w:t>40.6626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36E43" w:rsidRDefault="00236E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236E43">
              <w:rPr>
                <w:b/>
                <w:sz w:val="22"/>
                <w:lang w:val="bg-BG"/>
              </w:rPr>
              <w:t>40.6626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36E43" w:rsidRDefault="00236E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236E43">
              <w:rPr>
                <w:b/>
                <w:sz w:val="22"/>
                <w:lang w:val="bg-BG"/>
              </w:rPr>
              <w:t>40.6626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6E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236E43">
              <w:rPr>
                <w:b/>
                <w:sz w:val="22"/>
                <w:lang w:val="bg-BG"/>
              </w:rPr>
              <w:t>25 894 254.71</w:t>
            </w:r>
            <w:r w:rsidR="00E733BB" w:rsidRPr="00236E4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6E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36E43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A8FEEA-F801-4CC9-A258-F85235B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65F5-644B-4D73-9242-A0F8DC1D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2026-06-03T12:10:00Z</dcterms:created>
  <dcterms:modified xsi:type="dcterms:W3CDTF">2026-06-03T12:11:00Z</dcterms:modified>
</cp:coreProperties>
</file>