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D1512">
              <w:rPr>
                <w:b/>
                <w:sz w:val="22"/>
                <w:lang w:val="ru-RU"/>
              </w:rPr>
              <w:t>21.03.2023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D151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70.0770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D151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70.0770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D151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70.0770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D151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41 525 433.77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D151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>In accordance with the req</w:t>
      </w:r>
      <w:bookmarkStart w:id="6" w:name="_GoBack"/>
      <w:bookmarkEnd w:id="6"/>
      <w:r>
        <w:rPr>
          <w:lang w:val="en-US"/>
        </w:rPr>
        <w:t xml:space="preserve">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CD1512">
              <w:rPr>
                <w:b/>
                <w:sz w:val="22"/>
                <w:lang w:val="en-US"/>
              </w:rPr>
              <w:t>21.03.2023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D151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70.0770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D1512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70.0770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D1512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70.0770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D151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41 525 433.77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D151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1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D1512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C48AF-7BB4-419C-9F10-76E03A74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6BDB-DBCA-4CDF-B9FA-6C343933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2023-03-22T10:30:00Z</dcterms:created>
  <dcterms:modified xsi:type="dcterms:W3CDTF">2023-03-22T10:31:00Z</dcterms:modified>
</cp:coreProperties>
</file>