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910"/>
        <w:gridCol w:w="1351"/>
      </w:tblGrid>
      <w:tr w:rsidR="00FE6FB5" w:rsidTr="00FE6FB5"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760B2">
              <w:rPr>
                <w:b/>
                <w:sz w:val="22"/>
                <w:lang w:val="ru-RU"/>
              </w:rPr>
              <w:t>20.01.2026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B63E0F"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10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351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B63E0F"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1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35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B63E0F"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B63E0F" w:rsidRDefault="001760B2" w:rsidP="00B63E0F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B63E0F">
              <w:rPr>
                <w:b/>
                <w:sz w:val="22"/>
                <w:lang w:val="bg-BG"/>
              </w:rPr>
              <w:t>41.0190</w:t>
            </w:r>
            <w:r w:rsidR="00B63E0F" w:rsidRPr="00B63E0F">
              <w:rPr>
                <w:b/>
                <w:sz w:val="22"/>
                <w:lang w:val="bg-BG"/>
              </w:rPr>
              <w:t xml:space="preserve"> евро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B63E0F" w:rsidRDefault="001760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B63E0F">
              <w:rPr>
                <w:b/>
                <w:sz w:val="22"/>
                <w:lang w:val="bg-BG"/>
              </w:rPr>
              <w:t>41.0190</w:t>
            </w:r>
            <w:r w:rsidR="00B63E0F" w:rsidRPr="00B63E0F">
              <w:rPr>
                <w:b/>
                <w:sz w:val="22"/>
                <w:lang w:val="bg-BG"/>
              </w:rPr>
              <w:t xml:space="preserve"> </w:t>
            </w:r>
            <w:r w:rsidR="00B63E0F" w:rsidRPr="00B63E0F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842" w:type="dxa"/>
            <w:vMerge w:val="restart"/>
            <w:vAlign w:val="center"/>
          </w:tcPr>
          <w:p w:rsidR="00FE6FB5" w:rsidRPr="00B63E0F" w:rsidRDefault="001760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B63E0F">
              <w:rPr>
                <w:b/>
                <w:sz w:val="22"/>
                <w:lang w:val="bg-BG"/>
              </w:rPr>
              <w:t>41.0190</w:t>
            </w:r>
            <w:r w:rsidR="00B63E0F" w:rsidRPr="00B63E0F">
              <w:rPr>
                <w:b/>
                <w:sz w:val="22"/>
                <w:lang w:val="bg-BG"/>
              </w:rPr>
              <w:t xml:space="preserve"> </w:t>
            </w:r>
            <w:r w:rsidR="00B63E0F" w:rsidRPr="00B63E0F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910" w:type="dxa"/>
            <w:vMerge w:val="restart"/>
            <w:vAlign w:val="center"/>
          </w:tcPr>
          <w:p w:rsidR="00FE6FB5" w:rsidRPr="00B95415" w:rsidRDefault="001760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B63E0F">
              <w:rPr>
                <w:b/>
                <w:sz w:val="22"/>
                <w:lang w:val="bg-BG"/>
              </w:rPr>
              <w:t>25 971 072.56</w:t>
            </w:r>
            <w:r w:rsidR="00B63E0F" w:rsidRPr="00B63E0F">
              <w:rPr>
                <w:b/>
                <w:sz w:val="22"/>
                <w:lang w:val="bg-BG"/>
              </w:rPr>
              <w:t xml:space="preserve"> </w:t>
            </w:r>
            <w:r w:rsidR="00B63E0F" w:rsidRPr="00B63E0F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351" w:type="dxa"/>
            <w:vMerge w:val="restart"/>
            <w:vAlign w:val="center"/>
          </w:tcPr>
          <w:p w:rsidR="00FE6FB5" w:rsidRPr="006C4570" w:rsidRDefault="001760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B63E0F"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1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35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760B2">
              <w:rPr>
                <w:b/>
                <w:sz w:val="22"/>
                <w:lang w:val="en-US"/>
              </w:rPr>
              <w:t>20.01.2026</w:t>
            </w:r>
          </w:p>
        </w:tc>
      </w:tr>
      <w:tr w:rsidR="00292032" w:rsidTr="00690522"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760B2" w:rsidP="00B63E0F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41.0190</w:t>
            </w:r>
            <w:r w:rsidR="00B63E0F">
              <w:rPr>
                <w:b/>
                <w:sz w:val="22"/>
                <w:lang w:val="bg-BG"/>
              </w:rPr>
              <w:t xml:space="preserve"> </w:t>
            </w:r>
            <w:r w:rsidR="00B63E0F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760B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41.0190</w:t>
            </w:r>
            <w:r w:rsidR="00B63E0F">
              <w:rPr>
                <w:b/>
                <w:sz w:val="22"/>
                <w:lang w:val="en-US"/>
              </w:rPr>
              <w:t xml:space="preserve"> </w:t>
            </w:r>
            <w:r w:rsidR="00B63E0F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760B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41.0190</w:t>
            </w:r>
            <w:r w:rsidR="00B63E0F">
              <w:rPr>
                <w:b/>
                <w:sz w:val="22"/>
                <w:lang w:val="en-US"/>
              </w:rPr>
              <w:t xml:space="preserve"> </w:t>
            </w:r>
            <w:r w:rsidR="00B63E0F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760B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 xml:space="preserve">25 971 </w:t>
            </w:r>
            <w:bookmarkStart w:id="14" w:name="_GoBack"/>
            <w:bookmarkEnd w:id="14"/>
            <w:r>
              <w:rPr>
                <w:b/>
                <w:sz w:val="22"/>
                <w:lang w:val="en-US"/>
              </w:rPr>
              <w:t>072.56</w:t>
            </w:r>
            <w:r w:rsidR="00B63E0F">
              <w:rPr>
                <w:b/>
                <w:sz w:val="22"/>
                <w:lang w:val="en-US"/>
              </w:rPr>
              <w:t xml:space="preserve"> </w:t>
            </w:r>
            <w:r w:rsidR="00B63E0F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760B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9F5CFB5A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3A880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4E9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AA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20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0E9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89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840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62D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34B46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F00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CC5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EE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00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9A4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E4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4A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942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1BBEC5D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B3C41B0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CB6468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212B8F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C60735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2138EB1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24CE6E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B122F2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6C6A834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4154C91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2C089D12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6C4E77A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7C22C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75023C6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A6E63E2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37960244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7F6F5C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A454A4F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BAAC11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51A8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A6D0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703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9CA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64D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980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5E3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6EC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B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760B2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3E0F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4A3522"/>
  <w15:chartTrackingRefBased/>
  <w15:docId w15:val="{85289801-177F-4B5D-9B0E-81F92E41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624D-AE97-4017-9DBA-F07CAF4D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8</TotalTime>
  <Pages>1</Pages>
  <Words>233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1691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2</cp:revision>
  <cp:lastPrinted>2011-01-14T08:10:00Z</cp:lastPrinted>
  <dcterms:created xsi:type="dcterms:W3CDTF">2026-01-21T14:40:00Z</dcterms:created>
  <dcterms:modified xsi:type="dcterms:W3CDTF">2026-01-21T15:07:00Z</dcterms:modified>
</cp:coreProperties>
</file>