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F25ED">
              <w:rPr>
                <w:b/>
                <w:sz w:val="22"/>
                <w:lang w:val="ru-RU"/>
              </w:rPr>
              <w:t>24.03.2026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4F25E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4F25E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4F25E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4F25ED" w:rsidRDefault="004F25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4F25ED">
              <w:rPr>
                <w:b/>
                <w:sz w:val="22"/>
                <w:lang w:val="bg-BG"/>
              </w:rPr>
              <w:t>40.8150</w:t>
            </w:r>
            <w:r w:rsidR="00E733BB" w:rsidRPr="004F25E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4F25ED" w:rsidRDefault="004F25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4F25ED">
              <w:rPr>
                <w:b/>
                <w:sz w:val="22"/>
                <w:lang w:val="bg-BG"/>
              </w:rPr>
              <w:t>40.8150</w:t>
            </w:r>
            <w:r w:rsidR="00E733BB" w:rsidRPr="004F25E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4F25ED" w:rsidRDefault="004F25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4F25ED">
              <w:rPr>
                <w:b/>
                <w:sz w:val="22"/>
                <w:lang w:val="bg-BG"/>
              </w:rPr>
              <w:t>40.8150</w:t>
            </w:r>
            <w:r w:rsidR="00E733BB" w:rsidRPr="004F25E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4F25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4F25ED">
              <w:rPr>
                <w:b/>
                <w:sz w:val="22"/>
                <w:lang w:val="bg-BG"/>
              </w:rPr>
              <w:t>25 991 333.87</w:t>
            </w:r>
            <w:r w:rsidR="00E733BB" w:rsidRPr="004F25E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4F25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4F25ED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F25ED">
              <w:rPr>
                <w:b/>
                <w:sz w:val="22"/>
                <w:lang w:val="en-US"/>
              </w:rPr>
              <w:t>24.03.2026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4F25ED" w:rsidRDefault="004F25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4F25ED">
              <w:rPr>
                <w:b/>
                <w:sz w:val="22"/>
                <w:lang w:val="bg-BG"/>
              </w:rPr>
              <w:t>40.8150</w:t>
            </w:r>
            <w:r w:rsidR="00E733BB" w:rsidRPr="004F25E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4F25ED" w:rsidRDefault="004F25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4F25ED">
              <w:rPr>
                <w:b/>
                <w:sz w:val="22"/>
                <w:lang w:val="bg-BG"/>
              </w:rPr>
              <w:t>40.8150</w:t>
            </w:r>
            <w:r w:rsidR="00E733BB" w:rsidRPr="004F25E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4F25ED" w:rsidRDefault="004F25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4F25ED">
              <w:rPr>
                <w:b/>
                <w:sz w:val="22"/>
                <w:lang w:val="bg-BG"/>
              </w:rPr>
              <w:t>40.8150</w:t>
            </w:r>
            <w:r w:rsidR="00E733BB" w:rsidRPr="004F25E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F25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4F25ED">
              <w:rPr>
                <w:b/>
                <w:sz w:val="22"/>
                <w:lang w:val="bg-BG"/>
              </w:rPr>
              <w:t>25 991 333.87</w:t>
            </w:r>
            <w:r w:rsidR="00E733BB" w:rsidRPr="004F25ED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F25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 xml:space="preserve">636 </w:t>
            </w:r>
            <w:bookmarkStart w:id="15" w:name="_GoBack"/>
            <w:bookmarkEnd w:id="15"/>
            <w:r>
              <w:rPr>
                <w:b/>
                <w:sz w:val="22"/>
                <w:lang w:val="bg-BG"/>
              </w:rPr>
              <w:t>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E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25ED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15AAAB-CE1E-45B4-87AD-C403B9FD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F9AC-B09C-470C-8B08-76EBF6FD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2026-03-25T14:25:00Z</dcterms:created>
  <dcterms:modified xsi:type="dcterms:W3CDTF">2026-03-25T14:34:00Z</dcterms:modified>
</cp:coreProperties>
</file>