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A75CED">
              <w:rPr>
                <w:b/>
                <w:sz w:val="22"/>
                <w:lang w:val="ru-RU"/>
              </w:rPr>
              <w:t>07.05.2026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A75CED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</w:rPr>
              <w:t>36.6574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Default="00A75CED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</w:rPr>
              <w:t>36.6574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A75CED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</w:rPr>
              <w:t>36.6574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0671DD" w:rsidRDefault="00A75CED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</w:rPr>
              <w:t>495 098.63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1804FA" w:rsidRDefault="00A75CED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75CED">
              <w:rPr>
                <w:b/>
                <w:sz w:val="22"/>
                <w:lang w:val="en-US"/>
              </w:rPr>
              <w:t>07.05.2026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A75CED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36.6574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7" w:type="dxa"/>
            <w:vAlign w:val="center"/>
          </w:tcPr>
          <w:p w:rsidR="00403058" w:rsidRPr="00BB0EE0" w:rsidRDefault="00A75CED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36.6574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Pr="00BB0EE0" w:rsidRDefault="00A75CED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36.6574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2268" w:type="dxa"/>
            <w:vAlign w:val="center"/>
          </w:tcPr>
          <w:p w:rsidR="00403058" w:rsidRPr="00BB0EE0" w:rsidRDefault="00A75CED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495 098.63</w:t>
            </w:r>
            <w:bookmarkEnd w:id="11"/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A75CED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CED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137E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5CED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94CF2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A1F9518-1599-4095-A23B-48D6EA6E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325D3-73F6-4E37-918B-EA4CE05DC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2026-05-08T13:23:00Z</dcterms:created>
  <dcterms:modified xsi:type="dcterms:W3CDTF">2026-05-08T13:24:00Z</dcterms:modified>
</cp:coreProperties>
</file>