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52774">
              <w:rPr>
                <w:b/>
                <w:sz w:val="22"/>
                <w:lang w:val="ru-RU"/>
              </w:rPr>
              <w:t>6.8.2024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bookmarkStart w:id="1" w:name="_GoBack"/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bookmarkEnd w:id="1"/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52774" w:rsidP="00FE6FB5">
            <w:pPr>
              <w:jc w:val="center"/>
              <w:rPr>
                <w:b/>
                <w:sz w:val="22"/>
              </w:rPr>
            </w:pPr>
            <w:bookmarkStart w:id="2" w:name="EmissionnaStoinost_FundID_3_1"/>
            <w:bookmarkEnd w:id="2"/>
            <w:r>
              <w:rPr>
                <w:sz w:val="22"/>
                <w:lang w:val="ru-RU"/>
              </w:rPr>
              <w:t>74.1142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52774" w:rsidP="00FE6FB5">
            <w:pPr>
              <w:jc w:val="center"/>
              <w:rPr>
                <w:b/>
                <w:sz w:val="22"/>
              </w:rPr>
            </w:pPr>
            <w:bookmarkStart w:id="3" w:name="EmissionnaStoinost_FundID_3_2"/>
            <w:bookmarkEnd w:id="3"/>
            <w:r>
              <w:rPr>
                <w:sz w:val="22"/>
                <w:lang w:val="ru-RU"/>
              </w:rPr>
              <w:t>74.1142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52774" w:rsidP="00FE6FB5">
            <w:pPr>
              <w:jc w:val="center"/>
              <w:rPr>
                <w:sz w:val="22"/>
                <w:lang w:val="bg-BG"/>
              </w:rPr>
            </w:pPr>
            <w:bookmarkStart w:id="4" w:name="ObratnoIzkupuvane_FundID_3"/>
            <w:bookmarkEnd w:id="4"/>
            <w:r>
              <w:rPr>
                <w:sz w:val="22"/>
                <w:lang w:val="ru-RU"/>
              </w:rPr>
              <w:t>74.1142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5277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3"/>
            <w:bookmarkEnd w:id="5"/>
            <w:r>
              <w:rPr>
                <w:sz w:val="22"/>
                <w:lang w:val="ru-RU"/>
              </w:rPr>
              <w:t>46 439 029.29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52774" w:rsidP="00FE6FB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3"/>
            <w:bookmarkEnd w:id="6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F52774">
              <w:rPr>
                <w:b/>
                <w:sz w:val="22"/>
                <w:lang w:val="en-US"/>
              </w:rPr>
              <w:t>6.8.2024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5277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74.1142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52774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74.1142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52774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74.1142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5277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46 439 029.29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5277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7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774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0FE16E-D517-4B00-B46C-0E948E8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58FE-95A6-410C-BEC9-F5F7AC93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2024-08-07T12:35:00Z</dcterms:created>
  <dcterms:modified xsi:type="dcterms:W3CDTF">2024-08-07T12:36:00Z</dcterms:modified>
</cp:coreProperties>
</file>