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E3" w:rsidRPr="00AF5E71" w:rsidRDefault="002E13E3" w:rsidP="002E13E3">
      <w:pPr>
        <w:pStyle w:val="Heading1"/>
        <w:numPr>
          <w:ilvl w:val="0"/>
          <w:numId w:val="0"/>
        </w:numPr>
        <w:jc w:val="center"/>
        <w:rPr>
          <w:rFonts w:ascii="Arial Narrow" w:hAnsi="Arial Narrow"/>
          <w:color w:val="auto"/>
          <w:sz w:val="28"/>
          <w:szCs w:val="28"/>
          <w:lang w:val="bg-BG"/>
        </w:rPr>
      </w:pPr>
      <w:bookmarkStart w:id="0" w:name="_GoBack"/>
      <w:bookmarkEnd w:id="0"/>
      <w:r w:rsidRPr="00AF5E71">
        <w:rPr>
          <w:rFonts w:ascii="Arial Narrow" w:hAnsi="Arial Narrow"/>
          <w:color w:val="auto"/>
          <w:sz w:val="28"/>
          <w:szCs w:val="28"/>
          <w:lang w:val="bg-BG"/>
        </w:rPr>
        <w:t>СЧЕТОВОДНА ПОЛИТИКА</w:t>
      </w:r>
    </w:p>
    <w:p w:rsidR="002E13E3" w:rsidRPr="00AF5E71" w:rsidRDefault="002E13E3" w:rsidP="002E13E3">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2E13E3" w:rsidRDefault="002E13E3" w:rsidP="002E13E3">
      <w:pPr>
        <w:autoSpaceDE w:val="0"/>
        <w:autoSpaceDN w:val="0"/>
        <w:adjustRightInd w:val="0"/>
        <w:jc w:val="both"/>
        <w:rPr>
          <w:rFonts w:ascii="Arial Narrow" w:hAnsi="Arial Narrow"/>
          <w:sz w:val="48"/>
          <w:szCs w:val="48"/>
        </w:rPr>
      </w:pPr>
    </w:p>
    <w:p w:rsidR="002E13E3" w:rsidRPr="002B725B" w:rsidRDefault="002E13E3" w:rsidP="002E13E3">
      <w:pPr>
        <w:rPr>
          <w:rFonts w:ascii="Arial Narrow" w:hAnsi="Arial Narrow"/>
        </w:rPr>
      </w:pPr>
    </w:p>
    <w:p w:rsidR="002E13E3" w:rsidRPr="002B725B" w:rsidRDefault="002E13E3" w:rsidP="002E13E3">
      <w:pPr>
        <w:keepNext/>
        <w:numPr>
          <w:ilvl w:val="0"/>
          <w:numId w:val="3"/>
        </w:numPr>
        <w:autoSpaceDE w:val="0"/>
        <w:autoSpaceDN w:val="0"/>
        <w:adjustRightInd w:val="0"/>
        <w:outlineLvl w:val="0"/>
        <w:rPr>
          <w:rFonts w:ascii="Arial Narrow" w:hAnsi="Arial Narrow"/>
          <w:b/>
          <w:bCs/>
          <w:szCs w:val="40"/>
        </w:rPr>
      </w:pPr>
      <w:r w:rsidRPr="002B725B">
        <w:rPr>
          <w:rFonts w:ascii="Arial Narrow" w:hAnsi="Arial Narrow"/>
          <w:b/>
          <w:bCs/>
          <w:szCs w:val="40"/>
        </w:rPr>
        <w:t>Обща информация</w:t>
      </w: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ind w:firstLine="567"/>
        <w:jc w:val="both"/>
        <w:rPr>
          <w:rFonts w:ascii="Arial Narrow" w:hAnsi="Arial Narrow"/>
        </w:rPr>
      </w:pPr>
      <w:r w:rsidRPr="002B725B">
        <w:rPr>
          <w:rFonts w:ascii="Arial Narrow" w:hAnsi="Arial Narrow"/>
        </w:rPr>
        <w:t xml:space="preserve"> </w:t>
      </w:r>
      <w:r w:rsidRPr="002B725B">
        <w:rPr>
          <w:rFonts w:ascii="Arial Narrow" w:hAnsi="Arial Narrow"/>
          <w:b/>
          <w:color w:val="000000"/>
        </w:rPr>
        <w:t>„ИНВЕСТМЪНТ ПРОПЪРТИС” АДСИЦ</w:t>
      </w:r>
      <w:r w:rsidRPr="002B725B">
        <w:rPr>
          <w:rFonts w:ascii="Arial Narrow" w:hAnsi="Arial Narrow"/>
          <w:color w:val="000000"/>
        </w:rPr>
        <w:t xml:space="preserve"> е акционерно дружество със специална инвестиционна цел за секюритизация на недвижими имоти по смисъла на Закона за дружествата със специална инвестиционна цел</w:t>
      </w:r>
      <w:r w:rsidRPr="002B725B">
        <w:rPr>
          <w:rFonts w:ascii="Arial Narrow" w:hAnsi="Arial Narrow"/>
          <w:color w:val="000000"/>
          <w:szCs w:val="22"/>
        </w:rPr>
        <w:t>.</w:t>
      </w:r>
      <w:r w:rsidRPr="002B725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с цел предоставянето им за управление, отдаване под наем, лизинг, аренда и продажба.</w:t>
      </w:r>
    </w:p>
    <w:p w:rsidR="002E13E3" w:rsidRPr="002B725B" w:rsidRDefault="002E13E3" w:rsidP="002E13E3">
      <w:pPr>
        <w:jc w:val="both"/>
        <w:rPr>
          <w:rFonts w:ascii="Arial Narrow" w:hAnsi="Arial Narrow"/>
          <w:szCs w:val="22"/>
        </w:rPr>
      </w:pPr>
      <w:r w:rsidRPr="002B725B">
        <w:rPr>
          <w:rFonts w:ascii="Arial Narrow" w:hAnsi="Arial Narrow"/>
          <w:lang w:val="ru-RU"/>
        </w:rPr>
        <w:t xml:space="preserve">         </w:t>
      </w: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е регистрирано като </w:t>
      </w:r>
      <w:r w:rsidRPr="002B725B">
        <w:rPr>
          <w:rFonts w:ascii="Arial Narrow" w:hAnsi="Arial Narrow"/>
          <w:color w:val="000000"/>
          <w:szCs w:val="22"/>
        </w:rPr>
        <w:t>акционерно</w:t>
      </w:r>
      <w:r w:rsidRPr="002B725B">
        <w:rPr>
          <w:rFonts w:ascii="Arial Narrow" w:hAnsi="Arial Narrow"/>
          <w:szCs w:val="22"/>
        </w:rPr>
        <w:t xml:space="preserve"> дружество със специална инвестиционна цел                                                                                                                                                                                                                                                                                                                                                                                                                                                                                                                                                                                                                                                                                                                                                                                                                                                                                                                                                                                                                                                                                                                                                                                                                                                                                                                                                                                                                                                                                                                                                                                                                                                                                                                                                                                                                                                                                                                                                                                                                                                                                                                                                                                                                                                                                                                                                                                                                                                                                                                                                                                                                                                                                                                                                                                                                                                                                                                              по фирмено дело № 11419/31.10.2003 г. на Софийски градски съд. Седалището и адресът на управление на Дружеството е гр.София, кв. „Витоша”, ВЕЦ-Симеоново 999.</w:t>
      </w: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Акциите на Дружеството са регистрирани на Българската фондова борса.</w:t>
      </w:r>
    </w:p>
    <w:p w:rsidR="002E13E3" w:rsidRPr="002B725B" w:rsidRDefault="002E13E3" w:rsidP="002E13E3">
      <w:pPr>
        <w:jc w:val="both"/>
        <w:rPr>
          <w:rFonts w:ascii="Arial Narrow" w:hAnsi="Arial Narrow"/>
          <w:b/>
          <w:bCs/>
        </w:rPr>
      </w:pPr>
    </w:p>
    <w:p w:rsidR="002E13E3" w:rsidRDefault="002E13E3" w:rsidP="002E13E3">
      <w:pPr>
        <w:jc w:val="both"/>
        <w:rPr>
          <w:rFonts w:ascii="Arial Narrow" w:hAnsi="Arial Narrow"/>
          <w:lang w:val="en-US"/>
        </w:rPr>
      </w:pPr>
      <w:r w:rsidRPr="002B725B">
        <w:rPr>
          <w:rFonts w:ascii="Arial Narrow" w:hAnsi="Arial Narrow"/>
          <w:bCs/>
          <w:color w:val="000000"/>
        </w:rPr>
        <w:t>Дружеството има едностепенна форма на управление.</w:t>
      </w:r>
      <w:r w:rsidRPr="002B725B">
        <w:rPr>
          <w:rFonts w:ascii="Arial Narrow" w:hAnsi="Arial Narrow"/>
        </w:rPr>
        <w:t xml:space="preserve"> Съветът на </w:t>
      </w:r>
      <w:r w:rsidRPr="002B725B">
        <w:rPr>
          <w:rFonts w:ascii="Arial Narrow" w:hAnsi="Arial Narrow"/>
          <w:color w:val="000000"/>
        </w:rPr>
        <w:t>директорите</w:t>
      </w:r>
      <w:r>
        <w:rPr>
          <w:rFonts w:ascii="Arial Narrow" w:hAnsi="Arial Narrow"/>
          <w:color w:val="000000"/>
          <w:lang w:val="en-US"/>
        </w:rPr>
        <w:t xml:space="preserve"> </w:t>
      </w:r>
      <w:r w:rsidRPr="002B725B">
        <w:rPr>
          <w:rFonts w:ascii="Arial Narrow" w:hAnsi="Arial Narrow"/>
          <w:color w:val="000000"/>
        </w:rPr>
        <w:t>е</w:t>
      </w:r>
      <w:r w:rsidRPr="002B725B">
        <w:rPr>
          <w:rFonts w:ascii="Arial Narrow" w:hAnsi="Arial Narrow"/>
        </w:rPr>
        <w:t xml:space="preserve"> в състав</w:t>
      </w:r>
      <w:r>
        <w:rPr>
          <w:rFonts w:ascii="Arial Narrow" w:hAnsi="Arial Narrow"/>
          <w:lang w:val="en-US"/>
        </w:rPr>
        <w:t>:</w:t>
      </w:r>
      <w:r w:rsidRPr="002B725B">
        <w:rPr>
          <w:rFonts w:ascii="Arial Narrow" w:hAnsi="Arial Narrow"/>
        </w:rPr>
        <w:t xml:space="preserve"> </w:t>
      </w:r>
    </w:p>
    <w:p w:rsidR="002E13E3" w:rsidRPr="006F4A71" w:rsidRDefault="002E13E3" w:rsidP="002E13E3">
      <w:pPr>
        <w:jc w:val="both"/>
        <w:rPr>
          <w:rFonts w:ascii="Arial Narrow" w:hAnsi="Arial Narrow"/>
          <w:lang w:val="en-US"/>
        </w:rPr>
      </w:pPr>
    </w:p>
    <w:p w:rsidR="002E13E3" w:rsidRPr="001C0E8D" w:rsidRDefault="002E13E3" w:rsidP="002E13E3">
      <w:pPr>
        <w:ind w:firstLine="567"/>
        <w:jc w:val="both"/>
        <w:rPr>
          <w:rFonts w:ascii="Arial Narrow" w:hAnsi="Arial Narrow"/>
          <w:lang w:val="en-US"/>
        </w:rPr>
      </w:pPr>
      <w:r w:rsidRPr="002B725B">
        <w:rPr>
          <w:rFonts w:ascii="Arial Narrow" w:hAnsi="Arial Narrow"/>
        </w:rPr>
        <w:t>1.</w:t>
      </w:r>
      <w:r>
        <w:rPr>
          <w:rFonts w:ascii="Arial Narrow" w:hAnsi="Arial Narrow"/>
          <w:lang w:val="en-US"/>
        </w:rPr>
        <w:t xml:space="preserve"> </w:t>
      </w:r>
      <w:r>
        <w:rPr>
          <w:rFonts w:ascii="Arial Narrow" w:hAnsi="Arial Narrow"/>
        </w:rPr>
        <w:t>Пламен Георгиев Цеков</w:t>
      </w:r>
      <w:r w:rsidRPr="002B725B">
        <w:rPr>
          <w:rFonts w:ascii="Arial Narrow" w:hAnsi="Arial Narrow"/>
        </w:rPr>
        <w:t xml:space="preserve">, ЕГН </w:t>
      </w:r>
      <w:r>
        <w:rPr>
          <w:rFonts w:ascii="Arial Narrow" w:hAnsi="Arial Narrow"/>
        </w:rPr>
        <w:t>6403143382</w:t>
      </w:r>
      <w:r w:rsidRPr="002B725B">
        <w:rPr>
          <w:rFonts w:ascii="Arial Narrow" w:hAnsi="Arial Narrow"/>
        </w:rPr>
        <w:t>,</w:t>
      </w:r>
      <w:r>
        <w:rPr>
          <w:rFonts w:ascii="Arial Narrow" w:hAnsi="Arial Narrow"/>
        </w:rPr>
        <w:t xml:space="preserve"> - председател</w:t>
      </w:r>
      <w:r>
        <w:rPr>
          <w:rFonts w:ascii="Arial Narrow" w:hAnsi="Arial Narrow"/>
          <w:lang w:val="en-US"/>
        </w:rPr>
        <w:t>;</w:t>
      </w:r>
    </w:p>
    <w:p w:rsidR="002E13E3" w:rsidRDefault="002E13E3" w:rsidP="002E13E3">
      <w:pPr>
        <w:ind w:firstLine="567"/>
        <w:jc w:val="both"/>
        <w:rPr>
          <w:rFonts w:ascii="Arial Narrow" w:hAnsi="Arial Narrow"/>
        </w:rPr>
      </w:pPr>
      <w:r w:rsidRPr="002B725B">
        <w:rPr>
          <w:rFonts w:ascii="Arial Narrow" w:hAnsi="Arial Narrow"/>
        </w:rPr>
        <w:t>2. „</w:t>
      </w:r>
      <w:r>
        <w:rPr>
          <w:rFonts w:ascii="Arial Narrow" w:hAnsi="Arial Narrow"/>
        </w:rPr>
        <w:t>Застрахователна компания „Надежда</w:t>
      </w:r>
      <w:r w:rsidRPr="002B725B">
        <w:rPr>
          <w:rFonts w:ascii="Arial Narrow" w:hAnsi="Arial Narrow"/>
        </w:rPr>
        <w:t xml:space="preserve">”АД, ЕИК </w:t>
      </w:r>
      <w:r>
        <w:rPr>
          <w:rFonts w:ascii="Arial Narrow" w:hAnsi="Arial Narrow"/>
        </w:rPr>
        <w:t>131282730</w:t>
      </w:r>
      <w:r w:rsidRPr="002B725B">
        <w:rPr>
          <w:rFonts w:ascii="Arial Narrow" w:hAnsi="Arial Narrow"/>
        </w:rPr>
        <w:t xml:space="preserve">, гр. София, вписано по ф.д. № </w:t>
      </w:r>
      <w:r>
        <w:rPr>
          <w:rFonts w:ascii="Arial Narrow" w:hAnsi="Arial Narrow"/>
        </w:rPr>
        <w:t>8341</w:t>
      </w:r>
      <w:r w:rsidRPr="002B725B">
        <w:rPr>
          <w:rFonts w:ascii="Arial Narrow" w:hAnsi="Arial Narrow"/>
        </w:rPr>
        <w:t xml:space="preserve"> по описа на Софийски градски съд за </w:t>
      </w:r>
      <w:r>
        <w:rPr>
          <w:rFonts w:ascii="Arial Narrow" w:hAnsi="Arial Narrow"/>
        </w:rPr>
        <w:t>2004</w:t>
      </w:r>
      <w:r w:rsidRPr="002B725B">
        <w:rPr>
          <w:rFonts w:ascii="Arial Narrow" w:hAnsi="Arial Narrow"/>
        </w:rPr>
        <w:t xml:space="preserve"> г.</w:t>
      </w:r>
      <w:r w:rsidRPr="002B725B">
        <w:rPr>
          <w:rFonts w:ascii="Arial Narrow" w:hAnsi="Arial Narrow"/>
          <w:snapToGrid w:val="0"/>
        </w:rPr>
        <w:t xml:space="preserve">, със седалище и адрес на управление: София, </w:t>
      </w:r>
      <w:r w:rsidRPr="002B725B">
        <w:rPr>
          <w:rFonts w:ascii="Arial Narrow" w:hAnsi="Arial Narrow"/>
        </w:rPr>
        <w:t>кв. „Лозенец”, р-н „Витоша – ВЕЦ Симеоново” 999</w:t>
      </w:r>
      <w:r w:rsidRPr="002B725B">
        <w:rPr>
          <w:rFonts w:ascii="Arial Narrow" w:hAnsi="Arial Narrow"/>
          <w:snapToGrid w:val="0"/>
        </w:rPr>
        <w:t xml:space="preserve">, представлявано от </w:t>
      </w:r>
      <w:r>
        <w:rPr>
          <w:rFonts w:ascii="Arial Narrow" w:hAnsi="Arial Narrow"/>
          <w:snapToGrid w:val="0"/>
        </w:rPr>
        <w:t>Пламен Георгиев Цеков</w:t>
      </w:r>
      <w:r w:rsidRPr="002B725B">
        <w:rPr>
          <w:rFonts w:ascii="Arial Narrow" w:hAnsi="Arial Narrow"/>
          <w:snapToGrid w:val="0"/>
        </w:rPr>
        <w:t xml:space="preserve">, ЕГН </w:t>
      </w:r>
      <w:r>
        <w:rPr>
          <w:rFonts w:ascii="Arial Narrow" w:hAnsi="Arial Narrow"/>
          <w:snapToGrid w:val="0"/>
        </w:rPr>
        <w:t>6403143382</w:t>
      </w:r>
      <w:r>
        <w:rPr>
          <w:rFonts w:ascii="Arial Narrow" w:hAnsi="Arial Narrow"/>
        </w:rPr>
        <w:t xml:space="preserve"> - член</w:t>
      </w:r>
      <w:r>
        <w:rPr>
          <w:rFonts w:ascii="Arial Narrow" w:hAnsi="Arial Narrow"/>
          <w:lang w:val="en-US"/>
        </w:rPr>
        <w:t>;</w:t>
      </w:r>
    </w:p>
    <w:p w:rsidR="002E13E3" w:rsidRDefault="002E13E3" w:rsidP="002E13E3">
      <w:pPr>
        <w:ind w:firstLine="567"/>
        <w:jc w:val="both"/>
        <w:rPr>
          <w:rFonts w:ascii="Arial Narrow" w:hAnsi="Arial Narrow" w:cs="Calibri"/>
        </w:rPr>
      </w:pPr>
      <w:r w:rsidRPr="002B725B">
        <w:rPr>
          <w:rFonts w:ascii="Arial Narrow" w:hAnsi="Arial Narrow"/>
          <w:lang w:val="ru-RU"/>
        </w:rPr>
        <w:t>3.</w:t>
      </w:r>
      <w:r>
        <w:rPr>
          <w:rFonts w:ascii="Arial Narrow" w:hAnsi="Arial Narrow" w:cs="Calibri"/>
          <w:color w:val="000000"/>
        </w:rPr>
        <w:t xml:space="preserve"> Захари Петров Наумов</w:t>
      </w:r>
      <w:r w:rsidRPr="00DD1C57">
        <w:rPr>
          <w:rFonts w:ascii="Arial Narrow" w:hAnsi="Arial Narrow" w:cs="Calibri"/>
          <w:color w:val="000000"/>
        </w:rPr>
        <w:t xml:space="preserve">, ЕГН </w:t>
      </w:r>
      <w:r>
        <w:rPr>
          <w:rFonts w:ascii="Arial Narrow" w:hAnsi="Arial Narrow" w:cs="Calibri"/>
          <w:color w:val="000000"/>
        </w:rPr>
        <w:t>8411256420</w:t>
      </w:r>
      <w:r w:rsidRPr="00DD1C57">
        <w:rPr>
          <w:rFonts w:ascii="Arial Narrow" w:hAnsi="Arial Narrow" w:cs="Calibri"/>
        </w:rPr>
        <w:t xml:space="preserve"> </w:t>
      </w:r>
      <w:r>
        <w:rPr>
          <w:rFonts w:ascii="Arial Narrow" w:hAnsi="Arial Narrow" w:cs="Calibri"/>
        </w:rPr>
        <w:t>–</w:t>
      </w:r>
      <w:r w:rsidRPr="00DD1C57">
        <w:rPr>
          <w:rFonts w:ascii="Arial Narrow" w:hAnsi="Arial Narrow" w:cs="Calibri"/>
        </w:rPr>
        <w:t xml:space="preserve"> </w:t>
      </w:r>
      <w:r>
        <w:rPr>
          <w:rFonts w:ascii="Arial Narrow" w:hAnsi="Arial Narrow" w:cs="Calibri"/>
        </w:rPr>
        <w:t xml:space="preserve">член. </w:t>
      </w:r>
    </w:p>
    <w:p w:rsidR="002E13E3" w:rsidRPr="0042609C" w:rsidRDefault="002E13E3" w:rsidP="002E13E3">
      <w:pPr>
        <w:ind w:firstLine="567"/>
        <w:jc w:val="both"/>
        <w:rPr>
          <w:rFonts w:ascii="Arial Narrow" w:hAnsi="Arial Narrow"/>
        </w:rPr>
      </w:pPr>
      <w:r w:rsidRPr="0042609C">
        <w:rPr>
          <w:rFonts w:ascii="Arial Narrow" w:hAnsi="Arial Narrow" w:cs="Calibri"/>
          <w:color w:val="000000"/>
        </w:rPr>
        <w:t>Съвет</w:t>
      </w:r>
      <w:r>
        <w:rPr>
          <w:rFonts w:ascii="Arial Narrow" w:hAnsi="Arial Narrow" w:cs="Calibri"/>
          <w:color w:val="000000"/>
        </w:rPr>
        <w:t>ът</w:t>
      </w:r>
      <w:r w:rsidRPr="0042609C">
        <w:rPr>
          <w:rFonts w:ascii="Arial Narrow" w:hAnsi="Arial Narrow" w:cs="Calibri"/>
          <w:color w:val="000000"/>
        </w:rPr>
        <w:t xml:space="preserve"> на директорите на </w:t>
      </w:r>
      <w:r w:rsidRPr="0042609C">
        <w:rPr>
          <w:rFonts w:ascii="Arial Narrow" w:hAnsi="Arial Narrow" w:cs="Calibri"/>
        </w:rPr>
        <w:t xml:space="preserve">„Инвестмънт </w:t>
      </w:r>
      <w:r>
        <w:rPr>
          <w:rFonts w:ascii="Arial Narrow" w:hAnsi="Arial Narrow" w:cs="Calibri"/>
        </w:rPr>
        <w:t xml:space="preserve">Пропъртис /Ин-Пропъртис/” АДСИЦ е избран на проведеното годишно общо събрание на акционерите на 16.07.2017г. и и вписано в ТР с номер </w:t>
      </w:r>
      <w:r>
        <w:rPr>
          <w:rFonts w:ascii="Arial Narrow" w:hAnsi="Arial Narrow" w:cs="Arial"/>
          <w:color w:val="000000"/>
        </w:rPr>
        <w:t>20170720150458</w:t>
      </w:r>
      <w:r w:rsidRPr="0042609C">
        <w:rPr>
          <w:rFonts w:ascii="Arial Narrow" w:hAnsi="Arial Narrow" w:cs="Arial"/>
          <w:color w:val="000000"/>
        </w:rPr>
        <w:t xml:space="preserve"> от </w:t>
      </w:r>
      <w:r>
        <w:rPr>
          <w:rFonts w:ascii="Arial Narrow" w:hAnsi="Arial Narrow" w:cs="Arial"/>
          <w:color w:val="000000"/>
        </w:rPr>
        <w:t>20</w:t>
      </w:r>
      <w:r w:rsidRPr="0042609C">
        <w:rPr>
          <w:rFonts w:ascii="Arial Narrow" w:hAnsi="Arial Narrow" w:cs="Arial"/>
          <w:color w:val="000000"/>
        </w:rPr>
        <w:t>.</w:t>
      </w:r>
      <w:r>
        <w:rPr>
          <w:rFonts w:ascii="Arial Narrow" w:hAnsi="Arial Narrow" w:cs="Arial"/>
          <w:color w:val="000000"/>
        </w:rPr>
        <w:t>07</w:t>
      </w:r>
      <w:r w:rsidRPr="0042609C">
        <w:rPr>
          <w:rFonts w:ascii="Arial Narrow" w:hAnsi="Arial Narrow" w:cs="Arial"/>
          <w:color w:val="000000"/>
        </w:rPr>
        <w:t>.201</w:t>
      </w:r>
      <w:r>
        <w:rPr>
          <w:rFonts w:ascii="Arial Narrow" w:hAnsi="Arial Narrow" w:cs="Arial"/>
          <w:color w:val="000000"/>
        </w:rPr>
        <w:t>7г.</w:t>
      </w:r>
    </w:p>
    <w:p w:rsidR="002E13E3" w:rsidRPr="002B725B" w:rsidRDefault="002E13E3" w:rsidP="002E13E3">
      <w:pPr>
        <w:jc w:val="both"/>
        <w:rPr>
          <w:rFonts w:ascii="Arial Narrow" w:hAnsi="Arial Narrow"/>
          <w:bCs/>
          <w:color w:val="000000"/>
          <w:lang w:val="ru-RU"/>
        </w:rPr>
      </w:pPr>
    </w:p>
    <w:p w:rsidR="002E13E3" w:rsidRPr="002B725B" w:rsidRDefault="002E13E3" w:rsidP="002E13E3">
      <w:pPr>
        <w:rPr>
          <w:rFonts w:ascii="Arial Narrow" w:hAnsi="Arial Narrow"/>
        </w:rPr>
      </w:pPr>
    </w:p>
    <w:p w:rsidR="002E13E3" w:rsidRPr="002B725B" w:rsidRDefault="002E13E3" w:rsidP="002E13E3">
      <w:pPr>
        <w:keepNext/>
        <w:numPr>
          <w:ilvl w:val="0"/>
          <w:numId w:val="3"/>
        </w:numPr>
        <w:autoSpaceDE w:val="0"/>
        <w:autoSpaceDN w:val="0"/>
        <w:adjustRightInd w:val="0"/>
        <w:outlineLvl w:val="0"/>
        <w:rPr>
          <w:rFonts w:ascii="Arial Narrow" w:hAnsi="Arial Narrow"/>
          <w:b/>
          <w:bCs/>
          <w:szCs w:val="40"/>
        </w:rPr>
      </w:pPr>
      <w:r w:rsidRPr="002B725B">
        <w:rPr>
          <w:rFonts w:ascii="Arial Narrow" w:hAnsi="Arial Narrow"/>
          <w:b/>
          <w:bCs/>
          <w:szCs w:val="19"/>
        </w:rPr>
        <w:t>Основа за изготвяне на финансовия отчет</w:t>
      </w:r>
    </w:p>
    <w:p w:rsidR="002E13E3" w:rsidRPr="002B725B" w:rsidRDefault="002E13E3" w:rsidP="002E13E3">
      <w:pPr>
        <w:tabs>
          <w:tab w:val="center" w:pos="4153"/>
          <w:tab w:val="right" w:pos="8306"/>
        </w:tabs>
        <w:jc w:val="both"/>
        <w:rPr>
          <w:rFonts w:ascii="Arial Narrow" w:hAnsi="Arial Narrow"/>
          <w:szCs w:val="19"/>
        </w:rPr>
      </w:pPr>
    </w:p>
    <w:p w:rsidR="002E13E3"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Финансовият отчет на “</w:t>
      </w:r>
      <w:r w:rsidRPr="002B725B">
        <w:rPr>
          <w:rFonts w:ascii="Arial Narrow" w:hAnsi="Arial Narrow"/>
          <w:color w:val="000000"/>
        </w:rPr>
        <w:t>Инвестмънт Пропъртис</w:t>
      </w:r>
      <w:r w:rsidRPr="002B725B">
        <w:rPr>
          <w:rFonts w:ascii="Arial Narrow" w:hAnsi="Arial Narrow"/>
          <w:color w:val="000000"/>
          <w:lang w:val="ru-RU"/>
        </w:rPr>
        <w:t>”АД</w:t>
      </w:r>
      <w:r w:rsidRPr="002B725B">
        <w:rPr>
          <w:rFonts w:ascii="Arial Narrow" w:hAnsi="Arial Narrow"/>
          <w:color w:val="000000"/>
        </w:rPr>
        <w:t>СИЦ</w:t>
      </w:r>
      <w:r w:rsidRPr="002B725B">
        <w:rPr>
          <w:rFonts w:ascii="Arial Narrow" w:hAnsi="Arial Narrow"/>
          <w:color w:val="000000"/>
          <w:lang w:val="ru-RU"/>
        </w:rPr>
        <w:t xml:space="preserve"> е изготвен</w:t>
      </w:r>
      <w:r>
        <w:rPr>
          <w:rFonts w:ascii="Arial Narrow" w:hAnsi="Arial Narrow"/>
          <w:color w:val="000000"/>
          <w:lang w:val="ru-RU"/>
        </w:rPr>
        <w:t>,</w:t>
      </w:r>
      <w:r w:rsidRPr="002B725B">
        <w:rPr>
          <w:rFonts w:ascii="Arial Narrow" w:hAnsi="Arial Narrow"/>
          <w:color w:val="000000"/>
          <w:lang w:val="ru-RU"/>
        </w:rPr>
        <w:t xml:space="preserve">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Pr>
          <w:rFonts w:ascii="Arial Narrow" w:hAnsi="Arial Narrow"/>
          <w:color w:val="000000"/>
        </w:rPr>
        <w:t>6</w:t>
      </w:r>
      <w:r w:rsidRPr="002B725B">
        <w:rPr>
          <w:rFonts w:ascii="Arial Narrow" w:hAnsi="Arial Narrow"/>
          <w:color w:val="000000"/>
          <w:lang w:val="en-US"/>
        </w:rPr>
        <w:t xml:space="preserve"> </w:t>
      </w:r>
      <w:r w:rsidRPr="002B725B">
        <w:rPr>
          <w:rFonts w:ascii="Arial Narrow" w:hAnsi="Arial Narrow"/>
          <w:color w:val="000000"/>
          <w:lang w:val="ru-RU"/>
        </w:rPr>
        <w:t>г. и са приети от Европейската комисия.</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w:t>
      </w:r>
      <w:r>
        <w:rPr>
          <w:rFonts w:ascii="Arial Narrow" w:hAnsi="Arial Narrow"/>
          <w:color w:val="000000"/>
          <w:lang w:val="ru-RU"/>
        </w:rPr>
        <w:t>,</w:t>
      </w:r>
      <w:r w:rsidRPr="002B725B">
        <w:rPr>
          <w:rFonts w:ascii="Arial Narrow" w:hAnsi="Arial Narrow"/>
          <w:color w:val="000000"/>
          <w:lang w:val="ru-RU"/>
        </w:rPr>
        <w:t xml:space="preserve"> респ. от Комитета за разяснения на МСФО (КРМСФО), които са били уместни за неговата дейност.</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lastRenderedPageBreak/>
        <w:t>От възприемането на стандартите и тълкуванията, които ефективно са в сила за отчетни периоди, започващи на или след 1 Януари 201</w:t>
      </w:r>
      <w:r>
        <w:rPr>
          <w:rFonts w:ascii="Arial Narrow" w:hAnsi="Arial Narrow"/>
          <w:color w:val="000000"/>
        </w:rPr>
        <w:t>6</w:t>
      </w:r>
      <w:r w:rsidRPr="002B725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2E13E3" w:rsidRPr="002B725B" w:rsidRDefault="002E13E3" w:rsidP="002E13E3">
      <w:pPr>
        <w:tabs>
          <w:tab w:val="left" w:pos="567"/>
        </w:tabs>
        <w:spacing w:before="240" w:line="360" w:lineRule="auto"/>
        <w:ind w:left="578"/>
        <w:outlineLvl w:val="0"/>
        <w:rPr>
          <w:rFonts w:ascii="Arial Narrow" w:hAnsi="Arial Narrow"/>
          <w:b/>
          <w:color w:val="000000"/>
        </w:rPr>
      </w:pPr>
      <w:bookmarkStart w:id="1" w:name="_Toc321656942"/>
      <w:bookmarkStart w:id="2" w:name="_Toc324673287"/>
      <w:bookmarkStart w:id="3" w:name="_Toc328565401"/>
      <w:r w:rsidRPr="002B725B">
        <w:rPr>
          <w:rFonts w:ascii="Arial Narrow" w:hAnsi="Arial Narrow"/>
          <w:b/>
          <w:color w:val="000000"/>
          <w:lang w:val="en-US"/>
        </w:rPr>
        <w:t>2.</w:t>
      </w:r>
      <w:proofErr w:type="gramStart"/>
      <w:r w:rsidRPr="002B725B">
        <w:rPr>
          <w:rFonts w:ascii="Arial Narrow" w:hAnsi="Arial Narrow"/>
          <w:b/>
          <w:color w:val="000000"/>
          <w:lang w:val="en-US"/>
        </w:rPr>
        <w:t>1.</w:t>
      </w:r>
      <w:r w:rsidRPr="002B725B">
        <w:rPr>
          <w:rFonts w:ascii="Arial Narrow" w:hAnsi="Arial Narrow"/>
          <w:b/>
          <w:color w:val="000000"/>
        </w:rPr>
        <w:t>Основни</w:t>
      </w:r>
      <w:proofErr w:type="gramEnd"/>
      <w:r w:rsidRPr="002B725B">
        <w:rPr>
          <w:rFonts w:ascii="Arial Narrow" w:hAnsi="Arial Narrow"/>
          <w:b/>
          <w:color w:val="000000"/>
        </w:rPr>
        <w:t xml:space="preserve"> предположения</w:t>
      </w:r>
      <w:bookmarkEnd w:id="1"/>
      <w:bookmarkEnd w:id="2"/>
      <w:bookmarkEnd w:id="3"/>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 xml:space="preserve">Настоящият финансов отчет на </w:t>
      </w:r>
      <w:r>
        <w:rPr>
          <w:rFonts w:ascii="Arial Narrow" w:hAnsi="Arial Narrow"/>
          <w:color w:val="000000"/>
          <w:lang w:val="ru-RU"/>
        </w:rPr>
        <w:t>Д</w:t>
      </w:r>
      <w:r w:rsidRPr="002B725B">
        <w:rPr>
          <w:rFonts w:ascii="Arial Narrow" w:hAnsi="Arial Narrow"/>
          <w:color w:val="000000"/>
          <w:lang w:val="ru-RU"/>
        </w:rPr>
        <w:t>ружеството е изготвен на база историческа цена, модифицирана в определени случаи с преоценката на някои активи и/ или пасиви по тяхната справедлива стойност към датата на съставяне на финансовия отчет</w:t>
      </w:r>
      <w:r>
        <w:rPr>
          <w:rFonts w:ascii="Arial Narrow" w:hAnsi="Arial Narrow"/>
          <w:color w:val="000000"/>
          <w:lang w:val="ru-RU"/>
        </w:rPr>
        <w:t>,</w:t>
      </w:r>
      <w:r w:rsidRPr="002B725B">
        <w:rPr>
          <w:rFonts w:ascii="Arial Narrow" w:hAnsi="Arial Narrow"/>
          <w:color w:val="000000"/>
          <w:lang w:val="ru-RU"/>
        </w:rPr>
        <w:t xml:space="preserve"> като това е посочено в съответните съпровождащи бележки.</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noProof/>
          <w:color w:val="000000"/>
          <w:lang w:val="ru-RU"/>
        </w:rPr>
      </w:pPr>
      <w:r w:rsidRPr="002B725B">
        <w:rPr>
          <w:rFonts w:ascii="Arial Narrow" w:hAnsi="Arial Narrow"/>
          <w:noProof/>
          <w:color w:val="000000"/>
          <w:lang w:val="ru-RU"/>
        </w:rPr>
        <w:t xml:space="preserve">Дружеството води своите счетоводни регистри в български лев (BGN), който </w:t>
      </w:r>
      <w:r>
        <w:rPr>
          <w:rFonts w:ascii="Arial Narrow" w:hAnsi="Arial Narrow"/>
          <w:noProof/>
          <w:color w:val="000000"/>
          <w:lang w:val="ru-RU"/>
        </w:rPr>
        <w:t xml:space="preserve">се </w:t>
      </w:r>
      <w:r w:rsidRPr="002B725B">
        <w:rPr>
          <w:rFonts w:ascii="Arial Narrow" w:hAnsi="Arial Narrow"/>
          <w:noProof/>
          <w:color w:val="000000"/>
          <w:lang w:val="ru-RU"/>
        </w:rPr>
        <w:t>приема като отчетна валута за представяне. Данните в отчета и приложенията към него са представени в хиляди лева, освен ако изрично не е указано</w:t>
      </w:r>
      <w:r>
        <w:rPr>
          <w:rFonts w:ascii="Arial Narrow" w:hAnsi="Arial Narrow"/>
          <w:noProof/>
          <w:color w:val="000000"/>
          <w:lang w:val="ru-RU"/>
        </w:rPr>
        <w:t xml:space="preserve"> друго</w:t>
      </w:r>
      <w:r w:rsidRPr="002B725B">
        <w:rPr>
          <w:rFonts w:ascii="Arial Narrow" w:hAnsi="Arial Narrow"/>
          <w:noProof/>
          <w:color w:val="000000"/>
          <w:lang w:val="ru-RU"/>
        </w:rPr>
        <w:t>.</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noProof/>
          <w:color w:val="000000"/>
        </w:rPr>
      </w:pPr>
      <w:r w:rsidRPr="002B725B">
        <w:rPr>
          <w:rFonts w:ascii="Arial Narrow" w:hAnsi="Arial Narrow"/>
          <w:noProof/>
          <w:color w:val="000000"/>
          <w:lang w:val="ru-RU"/>
        </w:rPr>
        <w:t>Представянето на финансов отчет съгласно Международните стандарти за финансови отчети изисква ръководството да направи най-добри приблизителни оценки, начисления и разумно обосновани предположения, които оказват ефект върху отчетените стойности на активите и пасивите, на приходите и разходите, и на оповестяването на условни вземания и задължения към датата на отчета. Тези приблизителни оценки, начисления и предположения са основани на информацията, която е налична към датата на финансовия отчет, поради което бъдещите фактически резултати биха могли да бъдат различни от тях (като в условията на финансова криза несигурностите са по-значителни). Обектите, които предполагат по-висока степен на субективна преценка или сложност, или където предположенията и  приблизителните счетоводни оценки са съществени за финансовия отчет, са оповестени</w:t>
      </w:r>
      <w:r w:rsidRPr="002B725B">
        <w:rPr>
          <w:rFonts w:ascii="Arial Narrow" w:hAnsi="Arial Narrow"/>
          <w:noProof/>
          <w:color w:val="000000"/>
        </w:rPr>
        <w:t>.</w:t>
      </w:r>
    </w:p>
    <w:p w:rsidR="002E13E3" w:rsidRPr="002B725B" w:rsidRDefault="002E13E3" w:rsidP="002E13E3">
      <w:pPr>
        <w:tabs>
          <w:tab w:val="left" w:pos="567"/>
        </w:tabs>
        <w:spacing w:before="240" w:line="360" w:lineRule="auto"/>
        <w:ind w:left="578"/>
        <w:outlineLvl w:val="0"/>
        <w:rPr>
          <w:rFonts w:ascii="Arial Narrow" w:hAnsi="Arial Narrow"/>
          <w:b/>
          <w:color w:val="000000"/>
          <w:lang w:val="en-US"/>
        </w:rPr>
      </w:pPr>
      <w:bookmarkStart w:id="4" w:name="_Toc262631533"/>
      <w:bookmarkStart w:id="5" w:name="_Toc262632146"/>
      <w:bookmarkStart w:id="6" w:name="_Toc262632559"/>
      <w:bookmarkStart w:id="7" w:name="_Toc262632860"/>
      <w:bookmarkStart w:id="8" w:name="_Toc293073241"/>
      <w:bookmarkStart w:id="9" w:name="_Toc293306036"/>
      <w:bookmarkStart w:id="10" w:name="_Toc321314570"/>
      <w:r w:rsidRPr="002B725B">
        <w:rPr>
          <w:rFonts w:ascii="Arial Narrow" w:hAnsi="Arial Narrow"/>
          <w:b/>
          <w:color w:val="000000"/>
          <w:lang w:val="en-US"/>
        </w:rPr>
        <w:t>2.</w:t>
      </w:r>
      <w:proofErr w:type="gramStart"/>
      <w:r w:rsidRPr="002B725B">
        <w:rPr>
          <w:rFonts w:ascii="Arial Narrow" w:hAnsi="Arial Narrow"/>
          <w:b/>
          <w:color w:val="000000"/>
          <w:lang w:val="en-US"/>
        </w:rPr>
        <w:t>2.Консолидиран</w:t>
      </w:r>
      <w:proofErr w:type="gram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финансов</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отчет</w:t>
      </w:r>
      <w:bookmarkEnd w:id="4"/>
      <w:bookmarkEnd w:id="5"/>
      <w:bookmarkEnd w:id="6"/>
      <w:bookmarkEnd w:id="7"/>
      <w:bookmarkEnd w:id="8"/>
      <w:bookmarkEnd w:id="9"/>
      <w:bookmarkEnd w:id="10"/>
      <w:proofErr w:type="spellEnd"/>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rPr>
      </w:pPr>
      <w:r w:rsidRPr="002B725B">
        <w:rPr>
          <w:rFonts w:ascii="Arial Narrow" w:hAnsi="Arial Narrow"/>
          <w:color w:val="000000"/>
        </w:rPr>
        <w:t>Инвестмънт Пропъртис АДСИЦ</w:t>
      </w:r>
      <w:r w:rsidRPr="002B725B">
        <w:rPr>
          <w:rFonts w:ascii="Arial Narrow" w:hAnsi="Arial Narrow"/>
          <w:color w:val="000000"/>
          <w:lang w:val="ru-RU"/>
        </w:rPr>
        <w:t xml:space="preserve"> не съставя консолидиран финансов отчет. Настоя</w:t>
      </w:r>
      <w:r w:rsidRPr="002B725B">
        <w:rPr>
          <w:rFonts w:ascii="Arial Narrow" w:hAnsi="Arial Narrow"/>
          <w:color w:val="000000"/>
        </w:rPr>
        <w:t>щ</w:t>
      </w:r>
      <w:r w:rsidRPr="002B725B">
        <w:rPr>
          <w:rFonts w:ascii="Arial Narrow" w:hAnsi="Arial Narrow"/>
          <w:color w:val="000000"/>
          <w:lang w:val="ru-RU"/>
        </w:rPr>
        <w:t>ият финансов отчет на дружеството за 201</w:t>
      </w:r>
      <w:r>
        <w:rPr>
          <w:rFonts w:ascii="Arial Narrow" w:hAnsi="Arial Narrow"/>
          <w:color w:val="000000"/>
          <w:lang w:val="ru-RU"/>
        </w:rPr>
        <w:t>7</w:t>
      </w:r>
      <w:r w:rsidRPr="002B725B">
        <w:rPr>
          <w:rFonts w:ascii="Arial Narrow" w:hAnsi="Arial Narrow"/>
          <w:color w:val="000000"/>
          <w:lang w:val="ru-RU"/>
        </w:rPr>
        <w:t xml:space="preserve"> г. </w:t>
      </w:r>
      <w:r w:rsidRPr="002B725B">
        <w:rPr>
          <w:rFonts w:ascii="Arial Narrow" w:hAnsi="Arial Narrow"/>
          <w:color w:val="000000"/>
        </w:rPr>
        <w:t>щ</w:t>
      </w:r>
      <w:r w:rsidRPr="002B725B">
        <w:rPr>
          <w:rFonts w:ascii="Arial Narrow" w:hAnsi="Arial Narrow"/>
          <w:color w:val="000000"/>
          <w:lang w:val="ru-RU"/>
        </w:rPr>
        <w:t xml:space="preserve">е бъде консолидиран във финансовите отчети към групата на </w:t>
      </w:r>
      <w:r w:rsidRPr="002B725B">
        <w:rPr>
          <w:rFonts w:ascii="Arial Narrow" w:hAnsi="Arial Narrow"/>
          <w:color w:val="000000"/>
        </w:rPr>
        <w:t>Ви Веста Холдинг Е</w:t>
      </w:r>
      <w:r w:rsidRPr="002B725B">
        <w:rPr>
          <w:rFonts w:ascii="Arial Narrow" w:hAnsi="Arial Narrow"/>
          <w:color w:val="000000"/>
          <w:lang w:val="ru-RU"/>
        </w:rPr>
        <w:t>АД</w:t>
      </w:r>
      <w:r w:rsidRPr="002B725B">
        <w:rPr>
          <w:rFonts w:ascii="Arial Narrow" w:hAnsi="Arial Narrow"/>
          <w:color w:val="000000"/>
        </w:rPr>
        <w:t>.</w:t>
      </w:r>
    </w:p>
    <w:p w:rsidR="002E13E3" w:rsidRPr="002B725B" w:rsidRDefault="002E13E3" w:rsidP="002E13E3">
      <w:pPr>
        <w:tabs>
          <w:tab w:val="left" w:pos="567"/>
        </w:tabs>
        <w:spacing w:before="240" w:line="360" w:lineRule="auto"/>
        <w:ind w:left="578"/>
        <w:outlineLvl w:val="0"/>
        <w:rPr>
          <w:rFonts w:ascii="Arial Narrow" w:hAnsi="Arial Narrow"/>
          <w:b/>
          <w:color w:val="000000"/>
          <w:lang w:val="en-US"/>
        </w:rPr>
      </w:pPr>
      <w:bookmarkStart w:id="11" w:name="_Toc225831132"/>
      <w:bookmarkStart w:id="12" w:name="_Toc225831208"/>
      <w:bookmarkStart w:id="13" w:name="_Toc225831332"/>
      <w:bookmarkStart w:id="14" w:name="_Toc262631534"/>
      <w:bookmarkStart w:id="15" w:name="_Toc262632147"/>
      <w:bookmarkStart w:id="16" w:name="_Toc262632560"/>
      <w:bookmarkStart w:id="17" w:name="_Toc262632861"/>
      <w:bookmarkStart w:id="18" w:name="_Toc293073242"/>
      <w:bookmarkStart w:id="19" w:name="_Toc293306037"/>
      <w:bookmarkStart w:id="20" w:name="_Toc321314571"/>
      <w:r w:rsidRPr="002B725B">
        <w:rPr>
          <w:rFonts w:ascii="Arial Narrow" w:hAnsi="Arial Narrow"/>
          <w:b/>
          <w:color w:val="000000"/>
        </w:rPr>
        <w:t>2.3.</w:t>
      </w:r>
      <w:proofErr w:type="spellStart"/>
      <w:r w:rsidRPr="002B725B">
        <w:rPr>
          <w:rFonts w:ascii="Arial Narrow" w:hAnsi="Arial Narrow"/>
          <w:b/>
          <w:color w:val="000000"/>
          <w:lang w:val="en-US"/>
        </w:rPr>
        <w:t>Сравнителни</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данни</w:t>
      </w:r>
      <w:bookmarkEnd w:id="11"/>
      <w:bookmarkEnd w:id="12"/>
      <w:bookmarkEnd w:id="13"/>
      <w:bookmarkEnd w:id="14"/>
      <w:bookmarkEnd w:id="15"/>
      <w:bookmarkEnd w:id="16"/>
      <w:bookmarkEnd w:id="17"/>
      <w:bookmarkEnd w:id="18"/>
      <w:bookmarkEnd w:id="19"/>
      <w:bookmarkEnd w:id="20"/>
      <w:proofErr w:type="spellEnd"/>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rPr>
      </w:pPr>
      <w:r w:rsidRPr="002B725B">
        <w:rPr>
          <w:rFonts w:ascii="Arial Narrow" w:hAnsi="Arial Narrow"/>
          <w:color w:val="000000"/>
          <w:lang w:val="ru-RU"/>
        </w:rPr>
        <w:t xml:space="preserve">Дружеството представя сравнителна информация в този финансов отчет за една предходна година, като за статиите в Отчета за финансовото състояние и </w:t>
      </w:r>
      <w:r w:rsidRPr="002B725B">
        <w:rPr>
          <w:rFonts w:ascii="Arial Narrow" w:hAnsi="Arial Narrow"/>
          <w:color w:val="000000"/>
        </w:rPr>
        <w:t xml:space="preserve">Отчета за изменение на </w:t>
      </w:r>
      <w:r w:rsidRPr="002B725B">
        <w:rPr>
          <w:rFonts w:ascii="Arial Narrow" w:hAnsi="Arial Narrow"/>
          <w:color w:val="000000"/>
          <w:lang w:val="ru-RU"/>
        </w:rPr>
        <w:t>собствения капитал</w:t>
      </w:r>
      <w:r w:rsidRPr="002B725B">
        <w:rPr>
          <w:rFonts w:ascii="Arial Narrow" w:hAnsi="Arial Narrow"/>
          <w:color w:val="000000"/>
        </w:rPr>
        <w:t>, както и пояснителните бележки за тях, са представени сравнителни данни към началото на най-ранния сравнителен период.</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Където е необходимо, сравнителните данни с</w:t>
      </w:r>
      <w:r w:rsidRPr="002B725B">
        <w:rPr>
          <w:rFonts w:ascii="Arial Narrow" w:hAnsi="Arial Narrow"/>
          <w:color w:val="000000"/>
        </w:rPr>
        <w:t>а</w:t>
      </w:r>
      <w:r w:rsidRPr="002B725B">
        <w:rPr>
          <w:rFonts w:ascii="Arial Narrow" w:hAnsi="Arial Narrow"/>
          <w:color w:val="000000"/>
          <w:lang w:val="ru-RU"/>
        </w:rPr>
        <w:t xml:space="preserve"> рекласифицира</w:t>
      </w:r>
      <w:r w:rsidRPr="002B725B">
        <w:rPr>
          <w:rFonts w:ascii="Arial Narrow" w:hAnsi="Arial Narrow"/>
          <w:color w:val="000000"/>
        </w:rPr>
        <w:t>ни</w:t>
      </w:r>
      <w:r w:rsidRPr="002B725B">
        <w:rPr>
          <w:rFonts w:ascii="Arial Narrow" w:hAnsi="Arial Narrow"/>
          <w:color w:val="000000"/>
          <w:lang w:val="ru-RU"/>
        </w:rPr>
        <w:t>, за да се постигне съпоставимост спрямо промени в представянето в текущата година.</w:t>
      </w:r>
    </w:p>
    <w:p w:rsidR="002E13E3" w:rsidRPr="002B725B" w:rsidRDefault="002E13E3" w:rsidP="002E13E3">
      <w:pPr>
        <w:tabs>
          <w:tab w:val="left" w:pos="567"/>
        </w:tabs>
        <w:spacing w:before="240" w:line="360" w:lineRule="auto"/>
        <w:ind w:left="578"/>
        <w:outlineLvl w:val="0"/>
        <w:rPr>
          <w:rFonts w:ascii="Arial Narrow" w:hAnsi="Arial Narrow"/>
          <w:b/>
          <w:color w:val="000000"/>
          <w:lang w:val="en-US"/>
        </w:rPr>
      </w:pPr>
      <w:bookmarkStart w:id="21" w:name="_Toc225831133"/>
      <w:bookmarkStart w:id="22" w:name="_Toc225831209"/>
      <w:bookmarkStart w:id="23" w:name="_Toc225831333"/>
      <w:bookmarkStart w:id="24" w:name="_Toc262631535"/>
      <w:bookmarkStart w:id="25" w:name="_Toc262632148"/>
      <w:bookmarkStart w:id="26" w:name="_Toc262632561"/>
      <w:bookmarkStart w:id="27" w:name="_Toc262632862"/>
      <w:bookmarkStart w:id="28" w:name="_Toc293073243"/>
      <w:bookmarkStart w:id="29" w:name="_Toc293306038"/>
      <w:bookmarkStart w:id="30" w:name="_Toc321314572"/>
      <w:r w:rsidRPr="002B725B">
        <w:rPr>
          <w:rFonts w:ascii="Arial Narrow" w:hAnsi="Arial Narrow"/>
          <w:b/>
          <w:color w:val="000000"/>
        </w:rPr>
        <w:lastRenderedPageBreak/>
        <w:t>2.4.</w:t>
      </w:r>
      <w:proofErr w:type="spellStart"/>
      <w:r w:rsidRPr="002B725B">
        <w:rPr>
          <w:rFonts w:ascii="Arial Narrow" w:hAnsi="Arial Narrow"/>
          <w:b/>
          <w:color w:val="000000"/>
          <w:lang w:val="en-US"/>
        </w:rPr>
        <w:t>Инфлационно</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преизчисление</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на</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отчетните</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показатели</w:t>
      </w:r>
      <w:bookmarkEnd w:id="21"/>
      <w:bookmarkEnd w:id="22"/>
      <w:bookmarkEnd w:id="23"/>
      <w:bookmarkEnd w:id="24"/>
      <w:bookmarkEnd w:id="25"/>
      <w:bookmarkEnd w:id="26"/>
      <w:bookmarkEnd w:id="27"/>
      <w:bookmarkEnd w:id="28"/>
      <w:bookmarkEnd w:id="29"/>
      <w:bookmarkEnd w:id="30"/>
      <w:proofErr w:type="spellEnd"/>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За 20</w:t>
      </w:r>
      <w:r w:rsidRPr="002B725B">
        <w:rPr>
          <w:rFonts w:ascii="Arial Narrow" w:hAnsi="Arial Narrow"/>
          <w:color w:val="000000"/>
          <w:lang w:val="en-US"/>
        </w:rPr>
        <w:t>1</w:t>
      </w:r>
      <w:r>
        <w:rPr>
          <w:rFonts w:ascii="Arial Narrow" w:hAnsi="Arial Narrow"/>
          <w:color w:val="000000"/>
        </w:rPr>
        <w:t>6</w:t>
      </w:r>
      <w:r w:rsidRPr="002B725B">
        <w:rPr>
          <w:rFonts w:ascii="Arial Narrow" w:hAnsi="Arial Narrow"/>
          <w:color w:val="000000"/>
        </w:rPr>
        <w:t>,</w:t>
      </w:r>
      <w:r w:rsidRPr="002B725B">
        <w:rPr>
          <w:rFonts w:ascii="Arial Narrow" w:hAnsi="Arial Narrow"/>
          <w:color w:val="000000"/>
          <w:lang w:val="ru-RU"/>
        </w:rPr>
        <w:t xml:space="preserve"> 20</w:t>
      </w:r>
      <w:r w:rsidRPr="002B725B">
        <w:rPr>
          <w:rFonts w:ascii="Arial Narrow" w:hAnsi="Arial Narrow"/>
          <w:color w:val="000000"/>
          <w:lang w:val="en-US"/>
        </w:rPr>
        <w:t>1</w:t>
      </w:r>
      <w:r>
        <w:rPr>
          <w:rFonts w:ascii="Arial Narrow" w:hAnsi="Arial Narrow"/>
          <w:color w:val="000000"/>
        </w:rPr>
        <w:t>5</w:t>
      </w:r>
      <w:r w:rsidRPr="002B725B">
        <w:rPr>
          <w:rFonts w:ascii="Arial Narrow" w:hAnsi="Arial Narrow"/>
          <w:color w:val="000000"/>
          <w:lang w:val="ru-RU"/>
        </w:rPr>
        <w:t xml:space="preserve"> </w:t>
      </w:r>
      <w:r w:rsidRPr="002B725B">
        <w:rPr>
          <w:rFonts w:ascii="Arial Narrow" w:hAnsi="Arial Narrow"/>
          <w:color w:val="000000"/>
        </w:rPr>
        <w:t>г</w:t>
      </w:r>
      <w:r w:rsidRPr="002B725B">
        <w:rPr>
          <w:rFonts w:ascii="Arial Narrow" w:hAnsi="Arial Narrow"/>
          <w:color w:val="000000"/>
          <w:lang w:val="en-US"/>
        </w:rPr>
        <w:t>.</w:t>
      </w:r>
      <w:r w:rsidRPr="002B725B">
        <w:rPr>
          <w:rFonts w:ascii="Arial Narrow" w:hAnsi="Arial Narrow"/>
          <w:color w:val="000000"/>
        </w:rPr>
        <w:t xml:space="preserve"> и 201</w:t>
      </w:r>
      <w:r>
        <w:rPr>
          <w:rFonts w:ascii="Arial Narrow" w:hAnsi="Arial Narrow"/>
          <w:color w:val="000000"/>
        </w:rPr>
        <w:t>4</w:t>
      </w:r>
      <w:r w:rsidRPr="002B725B">
        <w:rPr>
          <w:rFonts w:ascii="Arial Narrow" w:hAnsi="Arial Narrow"/>
          <w:color w:val="000000"/>
        </w:rPr>
        <w:t xml:space="preserve"> г.</w:t>
      </w:r>
      <w:r w:rsidRPr="002B725B">
        <w:rPr>
          <w:rFonts w:ascii="Arial Narrow" w:hAnsi="Arial Narrow"/>
          <w:color w:val="000000"/>
          <w:lang w:val="en-US"/>
        </w:rPr>
        <w:t xml:space="preserve"> </w:t>
      </w:r>
      <w:r w:rsidRPr="002B725B">
        <w:rPr>
          <w:rFonts w:ascii="Arial Narrow" w:hAnsi="Arial Narrow"/>
          <w:color w:val="000000"/>
          <w:lang w:val="ru-RU"/>
        </w:rPr>
        <w:t>не са извършвани инфлационни преизчисления на отчитаните показатели на дружеството, тъй като липсва хиперинфлационна стопанска среда.</w:t>
      </w:r>
    </w:p>
    <w:p w:rsidR="002E13E3" w:rsidRPr="002B725B" w:rsidRDefault="002E13E3" w:rsidP="002E13E3">
      <w:pPr>
        <w:tabs>
          <w:tab w:val="left" w:pos="567"/>
        </w:tabs>
        <w:spacing w:before="240" w:line="360" w:lineRule="auto"/>
        <w:ind w:left="578"/>
        <w:outlineLvl w:val="0"/>
        <w:rPr>
          <w:rFonts w:ascii="Arial Narrow" w:hAnsi="Arial Narrow"/>
          <w:b/>
          <w:color w:val="000000"/>
          <w:lang w:val="en-US"/>
        </w:rPr>
      </w:pPr>
      <w:bookmarkStart w:id="31" w:name="_Toc225831134"/>
      <w:bookmarkStart w:id="32" w:name="_Toc225831210"/>
      <w:bookmarkStart w:id="33" w:name="_Toc225831334"/>
      <w:bookmarkStart w:id="34" w:name="_Toc262631536"/>
      <w:bookmarkStart w:id="35" w:name="_Toc262632149"/>
      <w:bookmarkStart w:id="36" w:name="_Toc262632562"/>
      <w:bookmarkStart w:id="37" w:name="_Toc262632863"/>
      <w:bookmarkStart w:id="38" w:name="_Toc293073244"/>
      <w:bookmarkStart w:id="39" w:name="_Toc293306039"/>
      <w:bookmarkStart w:id="40" w:name="_Toc321314573"/>
      <w:r w:rsidRPr="002B725B">
        <w:rPr>
          <w:rFonts w:ascii="Arial Narrow" w:hAnsi="Arial Narrow"/>
          <w:b/>
          <w:color w:val="000000"/>
        </w:rPr>
        <w:t>2.5.</w:t>
      </w:r>
      <w:proofErr w:type="spellStart"/>
      <w:r w:rsidRPr="002B725B">
        <w:rPr>
          <w:rFonts w:ascii="Arial Narrow" w:hAnsi="Arial Narrow"/>
          <w:b/>
          <w:color w:val="000000"/>
          <w:lang w:val="en-US"/>
        </w:rPr>
        <w:t>Функционална</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валута</w:t>
      </w:r>
      <w:proofErr w:type="spellEnd"/>
      <w:r w:rsidRPr="002B725B">
        <w:rPr>
          <w:rFonts w:ascii="Arial Narrow" w:hAnsi="Arial Narrow"/>
          <w:b/>
          <w:color w:val="000000"/>
          <w:lang w:val="en-US"/>
        </w:rPr>
        <w:t xml:space="preserve"> и </w:t>
      </w:r>
      <w:proofErr w:type="spellStart"/>
      <w:r w:rsidRPr="002B725B">
        <w:rPr>
          <w:rFonts w:ascii="Arial Narrow" w:hAnsi="Arial Narrow"/>
          <w:b/>
          <w:color w:val="000000"/>
          <w:lang w:val="en-US"/>
        </w:rPr>
        <w:t>признаване</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на</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курсови</w:t>
      </w:r>
      <w:proofErr w:type="spellEnd"/>
      <w:r w:rsidRPr="002B725B">
        <w:rPr>
          <w:rFonts w:ascii="Arial Narrow" w:hAnsi="Arial Narrow"/>
          <w:b/>
          <w:color w:val="000000"/>
          <w:lang w:val="en-US"/>
        </w:rPr>
        <w:t xml:space="preserve"> </w:t>
      </w:r>
      <w:proofErr w:type="spellStart"/>
      <w:r w:rsidRPr="002B725B">
        <w:rPr>
          <w:rFonts w:ascii="Arial Narrow" w:hAnsi="Arial Narrow"/>
          <w:b/>
          <w:color w:val="000000"/>
          <w:lang w:val="en-US"/>
        </w:rPr>
        <w:t>разлики</w:t>
      </w:r>
      <w:bookmarkEnd w:id="31"/>
      <w:bookmarkEnd w:id="32"/>
      <w:bookmarkEnd w:id="33"/>
      <w:bookmarkEnd w:id="34"/>
      <w:bookmarkEnd w:id="35"/>
      <w:bookmarkEnd w:id="36"/>
      <w:bookmarkEnd w:id="37"/>
      <w:bookmarkEnd w:id="38"/>
      <w:bookmarkEnd w:id="39"/>
      <w:bookmarkEnd w:id="40"/>
      <w:proofErr w:type="spellEnd"/>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 xml:space="preserve">Функционалната и отчетна валута на представяне на финансовия отчет на дружеството е българският лев. От 01.07.1997 г. левът е фиксиран в съответствие със Закона за БНБ към германската марка в съотношение </w:t>
      </w:r>
      <w:r w:rsidRPr="002B725B">
        <w:rPr>
          <w:rFonts w:ascii="Arial Narrow" w:hAnsi="Arial Narrow"/>
          <w:color w:val="000000"/>
          <w:lang w:val="en-US"/>
        </w:rPr>
        <w:t xml:space="preserve">BGN 1:DEM </w:t>
      </w:r>
      <w:r w:rsidRPr="002B725B">
        <w:rPr>
          <w:rFonts w:ascii="Arial Narrow" w:hAnsi="Arial Narrow"/>
          <w:color w:val="000000"/>
          <w:lang w:val="ru-RU"/>
        </w:rPr>
        <w:t xml:space="preserve">1, а с въвеждането на еврото като официална валута на Европейския съюз - с еврото в съотношение </w:t>
      </w:r>
      <w:r w:rsidRPr="002B725B">
        <w:rPr>
          <w:rFonts w:ascii="Arial Narrow" w:hAnsi="Arial Narrow"/>
          <w:color w:val="000000"/>
          <w:lang w:val="en-US"/>
        </w:rPr>
        <w:t xml:space="preserve">BGN 1.95583:EUR </w:t>
      </w:r>
      <w:r w:rsidRPr="002B725B">
        <w:rPr>
          <w:rFonts w:ascii="Arial Narrow" w:hAnsi="Arial Narrow"/>
          <w:color w:val="000000"/>
          <w:lang w:val="ru-RU"/>
        </w:rPr>
        <w:t>1.</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2B725B">
        <w:rPr>
          <w:rFonts w:ascii="Arial Narrow" w:hAnsi="Arial Narrow"/>
          <w:color w:val="000000"/>
          <w:lang w:val="ru-RU"/>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Pr="002B725B">
        <w:rPr>
          <w:rFonts w:ascii="Arial Narrow" w:hAnsi="Arial Narrow"/>
          <w:color w:val="000000"/>
          <w:lang w:val="en-US"/>
        </w:rPr>
        <w:t xml:space="preserve">31 </w:t>
      </w:r>
      <w:r w:rsidRPr="002B725B">
        <w:rPr>
          <w:rFonts w:ascii="Arial Narrow" w:hAnsi="Arial Narrow"/>
          <w:color w:val="000000"/>
          <w:lang w:val="ru-RU"/>
        </w:rPr>
        <w:t>декември те се оценяват в български лева като се използва заключителният обменен курс на БНБ.</w:t>
      </w:r>
    </w:p>
    <w:p w:rsidR="002E13E3" w:rsidRPr="002B725B" w:rsidRDefault="002E13E3" w:rsidP="002E13E3">
      <w:pPr>
        <w:widowControl w:val="0"/>
        <w:shd w:val="clear" w:color="auto" w:fill="FFFFFF"/>
        <w:autoSpaceDE w:val="0"/>
        <w:autoSpaceDN w:val="0"/>
        <w:adjustRightInd w:val="0"/>
        <w:spacing w:before="120" w:line="276" w:lineRule="auto"/>
        <w:jc w:val="both"/>
        <w:rPr>
          <w:rFonts w:ascii="Arial Narrow" w:hAnsi="Arial Narrow"/>
          <w:color w:val="000000"/>
        </w:rPr>
      </w:pPr>
      <w:r w:rsidRPr="002B725B">
        <w:rPr>
          <w:rFonts w:ascii="Arial Narrow" w:hAnsi="Arial Narrow"/>
          <w:color w:val="000000"/>
          <w:lang w:val="ru-RU"/>
        </w:rPr>
        <w:t>Немонетарните отчетни обекти в баланса,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w:t>
      </w:r>
      <w:r w:rsidRPr="002B725B">
        <w:rPr>
          <w:rFonts w:ascii="Arial Narrow" w:hAnsi="Arial Narrow"/>
          <w:color w:val="000000"/>
        </w:rPr>
        <w:t xml:space="preserve"> курс.</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jc w:val="both"/>
        <w:rPr>
          <w:rFonts w:ascii="Arial Narrow" w:hAnsi="Arial Narrow"/>
        </w:rPr>
      </w:pPr>
    </w:p>
    <w:p w:rsidR="002E13E3" w:rsidRPr="002B725B" w:rsidRDefault="002E13E3" w:rsidP="002E13E3">
      <w:pPr>
        <w:keepNext/>
        <w:numPr>
          <w:ilvl w:val="0"/>
          <w:numId w:val="3"/>
        </w:numPr>
        <w:autoSpaceDE w:val="0"/>
        <w:autoSpaceDN w:val="0"/>
        <w:adjustRightInd w:val="0"/>
        <w:outlineLvl w:val="0"/>
        <w:rPr>
          <w:rFonts w:ascii="Arial Narrow" w:hAnsi="Arial Narrow"/>
          <w:b/>
          <w:bCs/>
          <w:szCs w:val="40"/>
        </w:rPr>
      </w:pPr>
      <w:r w:rsidRPr="002B725B">
        <w:rPr>
          <w:rFonts w:ascii="Arial Narrow" w:hAnsi="Arial Narrow"/>
          <w:b/>
          <w:bCs/>
          <w:szCs w:val="19"/>
        </w:rPr>
        <w:t>Счетоводна политика</w:t>
      </w: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Общи положения</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bCs/>
          <w:szCs w:val="20"/>
        </w:rPr>
      </w:pPr>
      <w:r w:rsidRPr="002B725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2E13E3" w:rsidRPr="002B725B" w:rsidRDefault="002E13E3" w:rsidP="002E13E3">
      <w:pPr>
        <w:jc w:val="both"/>
        <w:rPr>
          <w:rFonts w:ascii="Arial Narrow" w:hAnsi="Arial Narrow"/>
        </w:rPr>
      </w:pP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Сделки в чуждестранна валута</w:t>
      </w:r>
    </w:p>
    <w:p w:rsidR="002E13E3" w:rsidRPr="002B725B" w:rsidRDefault="002E13E3" w:rsidP="002E13E3">
      <w:pPr>
        <w:jc w:val="both"/>
        <w:rPr>
          <w:rFonts w:ascii="Arial Narrow" w:hAnsi="Arial Narrow"/>
          <w:szCs w:val="22"/>
        </w:rPr>
      </w:pPr>
      <w:r w:rsidRPr="002B725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2B725B">
        <w:rPr>
          <w:rFonts w:ascii="Arial Narrow" w:hAnsi="Arial Narrow"/>
          <w:szCs w:val="22"/>
        </w:rPr>
        <w:lastRenderedPageBreak/>
        <w:t xml:space="preserve">Финансовите отчети на Дружеството са изготвени в български лева (лв). </w:t>
      </w:r>
      <w:r w:rsidRPr="002B725B">
        <w:rPr>
          <w:rFonts w:ascii="Arial Narrow" w:hAnsi="Arial Narrow"/>
          <w:bCs/>
        </w:rPr>
        <w:t xml:space="preserve">Това е функционалната </w:t>
      </w:r>
      <w:r w:rsidRPr="002B725B">
        <w:rPr>
          <w:rFonts w:ascii="Arial Narrow" w:hAnsi="Arial Narrow"/>
          <w:iCs/>
          <w:spacing w:val="-2"/>
        </w:rPr>
        <w:t>валута</w:t>
      </w:r>
      <w:r w:rsidRPr="002B725B">
        <w:rPr>
          <w:rFonts w:ascii="Arial Narrow" w:hAnsi="Arial Narrow"/>
          <w:bCs/>
        </w:rPr>
        <w:t xml:space="preserve"> и </w:t>
      </w:r>
      <w:r w:rsidRPr="002B725B">
        <w:rPr>
          <w:rFonts w:ascii="Arial Narrow" w:hAnsi="Arial Narrow"/>
          <w:iCs/>
          <w:spacing w:val="-2"/>
        </w:rPr>
        <w:t>валутата на представяне</w:t>
      </w:r>
      <w:r w:rsidRPr="002B725B">
        <w:rPr>
          <w:rFonts w:ascii="Arial Narrow" w:hAnsi="Arial Narrow"/>
          <w:bCs/>
        </w:rPr>
        <w:t xml:space="preserve"> на Дружеството.</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Приходи и разходи</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rPr>
      </w:pPr>
      <w:r w:rsidRPr="002B725B">
        <w:rPr>
          <w:rFonts w:ascii="Arial Narrow" w:hAnsi="Arial Narrow"/>
        </w:rPr>
        <w:t>Приходите включват приходи от продажба на стоки и предоставяне на услуги. Приходите от основните продукти и услуги са представени в Пояснение 13 и 17.</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рабати, направени от Дружеството.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При продажба на стоки, приходът се признава, когато са изпълнени следните условия:</w:t>
      </w:r>
    </w:p>
    <w:p w:rsidR="002E13E3" w:rsidRPr="002B725B" w:rsidRDefault="002E13E3" w:rsidP="002E13E3">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значителните рискове и ползи от собствеността върху стоките са прехвърлени върху купувача;</w:t>
      </w:r>
    </w:p>
    <w:p w:rsidR="002E13E3" w:rsidRPr="002B725B" w:rsidRDefault="002E13E3" w:rsidP="002E13E3">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не е запазено продължаващо участие в управлението на стоките или ефективен контрол върху тях;</w:t>
      </w:r>
    </w:p>
    <w:p w:rsidR="002E13E3" w:rsidRPr="002B725B" w:rsidRDefault="002E13E3" w:rsidP="002E13E3">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сумата на прихода може да бъде надеждно оценена;</w:t>
      </w:r>
    </w:p>
    <w:p w:rsidR="002E13E3" w:rsidRPr="002B725B" w:rsidRDefault="002E13E3" w:rsidP="002E13E3">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вероятно е икономическите изгоди от сделката да бъдат получени;</w:t>
      </w:r>
    </w:p>
    <w:p w:rsidR="002E13E3" w:rsidRPr="002B725B" w:rsidRDefault="002E13E3" w:rsidP="002E13E3">
      <w:pPr>
        <w:numPr>
          <w:ilvl w:val="0"/>
          <w:numId w:val="2"/>
        </w:numPr>
        <w:autoSpaceDE w:val="0"/>
        <w:autoSpaceDN w:val="0"/>
        <w:adjustRightInd w:val="0"/>
        <w:jc w:val="both"/>
        <w:rPr>
          <w:rFonts w:ascii="Arial Narrow" w:hAnsi="Arial Narrow"/>
          <w:szCs w:val="22"/>
        </w:rPr>
      </w:pPr>
      <w:r w:rsidRPr="002B725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color w:val="FF0000"/>
          <w:szCs w:val="22"/>
        </w:rPr>
      </w:pPr>
      <w:r w:rsidRPr="002B725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2B725B">
        <w:rPr>
          <w:rFonts w:ascii="Arial Narrow" w:hAnsi="Arial Narrow"/>
          <w:color w:val="FF0000"/>
          <w:szCs w:val="22"/>
        </w:rPr>
        <w:t xml:space="preserve">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lang w:val="ru-RU"/>
        </w:rPr>
      </w:pPr>
      <w:r w:rsidRPr="002B725B">
        <w:rPr>
          <w:rFonts w:ascii="Arial Narrow" w:hAnsi="Arial Narrow"/>
          <w:szCs w:val="22"/>
        </w:rPr>
        <w:t xml:space="preserve">Приходи и разходи за лихви се отчитат на принципа на начислението.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color w:val="000000"/>
          <w:szCs w:val="22"/>
        </w:rPr>
      </w:pPr>
      <w:r w:rsidRPr="002B725B">
        <w:rPr>
          <w:rFonts w:ascii="Arial Narrow" w:hAnsi="Arial Narrow"/>
          <w:b/>
          <w:bCs/>
          <w:color w:val="000000"/>
          <w:szCs w:val="22"/>
        </w:rPr>
        <w:t>Разходи по заеми</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rPr>
      </w:pPr>
      <w:r w:rsidRPr="002B725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w:t>
      </w:r>
      <w:r>
        <w:rPr>
          <w:rFonts w:ascii="Arial Narrow" w:hAnsi="Arial Narrow"/>
        </w:rPr>
        <w:t>,</w:t>
      </w:r>
      <w:r w:rsidRPr="002B725B">
        <w:rPr>
          <w:rFonts w:ascii="Arial Narrow" w:hAnsi="Arial Narrow"/>
        </w:rPr>
        <w:t xml:space="preserve"> като част от „финансови разходи” в Отчета за доходите.</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lastRenderedPageBreak/>
        <w:t>Нематериални активи</w:t>
      </w:r>
    </w:p>
    <w:p w:rsidR="002E13E3" w:rsidRPr="002B725B" w:rsidRDefault="002E13E3" w:rsidP="002E13E3">
      <w:pPr>
        <w:rPr>
          <w:rFonts w:ascii="Arial Narrow" w:hAnsi="Arial Narrow"/>
        </w:rPr>
      </w:pPr>
    </w:p>
    <w:p w:rsidR="002E13E3" w:rsidRPr="002B725B" w:rsidRDefault="002E13E3" w:rsidP="002E13E3">
      <w:pPr>
        <w:autoSpaceDE w:val="0"/>
        <w:autoSpaceDN w:val="0"/>
        <w:adjustRightInd w:val="0"/>
        <w:jc w:val="both"/>
        <w:rPr>
          <w:rFonts w:ascii="Arial Narrow" w:hAnsi="Arial Narrow"/>
          <w:bCs/>
          <w:szCs w:val="22"/>
        </w:rPr>
      </w:pPr>
      <w:r w:rsidRPr="002B725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2E13E3" w:rsidRPr="002B725B" w:rsidRDefault="002E13E3" w:rsidP="002E13E3">
      <w:pPr>
        <w:autoSpaceDE w:val="0"/>
        <w:autoSpaceDN w:val="0"/>
        <w:adjustRightInd w:val="0"/>
        <w:rPr>
          <w:rFonts w:ascii="Arial Narrow" w:hAnsi="Arial Narrow"/>
          <w:b/>
          <w:szCs w:val="22"/>
        </w:rPr>
      </w:pPr>
    </w:p>
    <w:p w:rsidR="002E13E3" w:rsidRPr="002B725B" w:rsidRDefault="002E13E3" w:rsidP="002E13E3">
      <w:pPr>
        <w:autoSpaceDE w:val="0"/>
        <w:autoSpaceDN w:val="0"/>
        <w:adjustRightInd w:val="0"/>
        <w:jc w:val="both"/>
        <w:rPr>
          <w:rFonts w:ascii="Arial Narrow" w:hAnsi="Arial Narrow"/>
          <w:bCs/>
          <w:szCs w:val="22"/>
        </w:rPr>
      </w:pPr>
      <w:r w:rsidRPr="002B725B">
        <w:rPr>
          <w:rFonts w:ascii="Arial Narrow" w:hAnsi="Arial Narrow"/>
          <w:bCs/>
          <w:szCs w:val="22"/>
        </w:rPr>
        <w:t xml:space="preserve">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 </w:t>
      </w:r>
    </w:p>
    <w:p w:rsidR="002E13E3" w:rsidRPr="002B725B" w:rsidRDefault="002E13E3" w:rsidP="002E13E3">
      <w:pPr>
        <w:jc w:val="both"/>
        <w:rPr>
          <w:rFonts w:ascii="Arial Narrow" w:eastAsia="MS Mincho" w:hAnsi="Arial Narrow"/>
          <w:bCs/>
        </w:rPr>
      </w:pPr>
    </w:p>
    <w:p w:rsidR="002E13E3" w:rsidRPr="002B725B" w:rsidRDefault="002E13E3" w:rsidP="002E13E3">
      <w:pPr>
        <w:jc w:val="both"/>
        <w:rPr>
          <w:rFonts w:ascii="Arial Narrow" w:eastAsia="MS Mincho" w:hAnsi="Arial Narrow"/>
        </w:rPr>
      </w:pPr>
      <w:r w:rsidRPr="002B725B">
        <w:rPr>
          <w:rFonts w:ascii="Arial Narrow" w:eastAsia="MS Mincho" w:hAnsi="Arial Narrow"/>
        </w:rPr>
        <w:t>Последващите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2E13E3" w:rsidRPr="002B725B" w:rsidRDefault="002E13E3" w:rsidP="002E13E3">
      <w:pPr>
        <w:jc w:val="both"/>
        <w:rPr>
          <w:rFonts w:ascii="Arial Narrow" w:eastAsia="MS Mincho" w:hAnsi="Arial Narrow"/>
        </w:rPr>
      </w:pPr>
    </w:p>
    <w:p w:rsidR="002E13E3" w:rsidRPr="002B725B" w:rsidRDefault="002E13E3" w:rsidP="002E13E3">
      <w:pPr>
        <w:jc w:val="both"/>
        <w:rPr>
          <w:rFonts w:ascii="Arial Narrow" w:hAnsi="Arial Narrow"/>
        </w:rPr>
      </w:pPr>
      <w:r w:rsidRPr="002B725B">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2E13E3" w:rsidRPr="002B725B" w:rsidRDefault="002E13E3" w:rsidP="002E13E3">
      <w:pPr>
        <w:numPr>
          <w:ilvl w:val="0"/>
          <w:numId w:val="1"/>
        </w:numPr>
        <w:autoSpaceDE w:val="0"/>
        <w:autoSpaceDN w:val="0"/>
        <w:adjustRightInd w:val="0"/>
        <w:jc w:val="both"/>
        <w:rPr>
          <w:rFonts w:ascii="Arial Narrow" w:hAnsi="Arial Narrow"/>
          <w:szCs w:val="22"/>
        </w:rPr>
      </w:pPr>
      <w:r w:rsidRPr="002B725B">
        <w:rPr>
          <w:rFonts w:ascii="Arial Narrow" w:hAnsi="Arial Narrow"/>
          <w:szCs w:val="22"/>
        </w:rPr>
        <w:t>софтуер</w:t>
      </w:r>
      <w:r w:rsidRPr="002B725B">
        <w:rPr>
          <w:rFonts w:ascii="Arial Narrow" w:hAnsi="Arial Narrow"/>
          <w:szCs w:val="22"/>
        </w:rPr>
        <w:tab/>
      </w:r>
      <w:r w:rsidRPr="002B725B">
        <w:rPr>
          <w:rFonts w:ascii="Arial Narrow" w:hAnsi="Arial Narrow"/>
          <w:szCs w:val="22"/>
        </w:rPr>
        <w:tab/>
        <w:t>2 години</w:t>
      </w:r>
    </w:p>
    <w:p w:rsidR="002E13E3" w:rsidRPr="002B725B" w:rsidRDefault="002E13E3" w:rsidP="002E13E3">
      <w:pPr>
        <w:numPr>
          <w:ilvl w:val="0"/>
          <w:numId w:val="1"/>
        </w:numPr>
        <w:autoSpaceDE w:val="0"/>
        <w:autoSpaceDN w:val="0"/>
        <w:adjustRightInd w:val="0"/>
        <w:jc w:val="both"/>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t xml:space="preserve">            6 години и шест месеца </w:t>
      </w:r>
    </w:p>
    <w:p w:rsidR="002E13E3" w:rsidRPr="002B725B" w:rsidRDefault="002E13E3" w:rsidP="002E13E3">
      <w:pPr>
        <w:autoSpaceDE w:val="0"/>
        <w:autoSpaceDN w:val="0"/>
        <w:adjustRightInd w:val="0"/>
        <w:rPr>
          <w:rFonts w:ascii="Arial Narrow" w:hAnsi="Arial Narrow"/>
          <w:color w:val="000000"/>
          <w:szCs w:val="22"/>
          <w:lang w:eastAsia="de-DE"/>
        </w:rPr>
      </w:pPr>
    </w:p>
    <w:p w:rsidR="002E13E3" w:rsidRPr="002B725B" w:rsidRDefault="002E13E3" w:rsidP="002E13E3">
      <w:pPr>
        <w:autoSpaceDE w:val="0"/>
        <w:autoSpaceDN w:val="0"/>
        <w:adjustRightInd w:val="0"/>
        <w:rPr>
          <w:rFonts w:ascii="Arial Narrow" w:hAnsi="Arial Narrow"/>
          <w:szCs w:val="22"/>
          <w:lang w:eastAsia="de-DE"/>
        </w:rPr>
      </w:pPr>
      <w:r w:rsidRPr="002B725B">
        <w:rPr>
          <w:rFonts w:ascii="Arial Narrow" w:hAnsi="Arial Narrow"/>
          <w:color w:val="000000"/>
          <w:szCs w:val="22"/>
          <w:lang w:eastAsia="de-DE"/>
        </w:rPr>
        <w:t>Амортизацията е включена в “</w:t>
      </w:r>
      <w:r w:rsidRPr="002B725B">
        <w:rPr>
          <w:rFonts w:ascii="Arial Narrow" w:hAnsi="Arial Narrow" w:cs="Arial"/>
          <w:color w:val="000000"/>
          <w:szCs w:val="19"/>
        </w:rPr>
        <w:t xml:space="preserve">разходи за </w:t>
      </w:r>
      <w:r w:rsidRPr="002B725B">
        <w:rPr>
          <w:rFonts w:ascii="Arial Narrow" w:hAnsi="Arial Narrow" w:cs="Arial"/>
          <w:szCs w:val="19"/>
        </w:rPr>
        <w:t>амортизация и обезценка на нефинансови активи</w:t>
      </w:r>
      <w:r w:rsidRPr="002B725B">
        <w:rPr>
          <w:rFonts w:ascii="Arial Narrow" w:hAnsi="Arial Narrow"/>
          <w:szCs w:val="22"/>
          <w:lang w:eastAsia="de-DE"/>
        </w:rPr>
        <w:t>”.</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2E13E3" w:rsidRPr="002B725B" w:rsidRDefault="002E13E3" w:rsidP="002E13E3">
      <w:pPr>
        <w:autoSpaceDE w:val="0"/>
        <w:autoSpaceDN w:val="0"/>
        <w:adjustRightInd w:val="0"/>
        <w:jc w:val="both"/>
        <w:rPr>
          <w:rFonts w:ascii="Arial Narrow" w:hAnsi="Arial Narrow"/>
          <w:szCs w:val="21"/>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19"/>
        </w:rPr>
      </w:pPr>
      <w:r w:rsidRPr="002B725B">
        <w:rPr>
          <w:rFonts w:ascii="Arial Narrow" w:hAnsi="Arial Narrow"/>
          <w:b/>
          <w:bCs/>
          <w:szCs w:val="19"/>
        </w:rPr>
        <w:t>Имоти, машини, съоръжения и оборудване</w:t>
      </w:r>
    </w:p>
    <w:p w:rsidR="002E13E3" w:rsidRPr="002B725B" w:rsidRDefault="002E13E3" w:rsidP="002E13E3">
      <w:pPr>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2E13E3" w:rsidRPr="002B725B" w:rsidRDefault="002E13E3" w:rsidP="002E13E3">
      <w:pPr>
        <w:jc w:val="both"/>
        <w:rPr>
          <w:rFonts w:ascii="Arial Narrow" w:hAnsi="Arial Narrow"/>
        </w:rPr>
      </w:pPr>
    </w:p>
    <w:p w:rsidR="002E13E3" w:rsidRPr="002B725B" w:rsidRDefault="002E13E3" w:rsidP="002E13E3">
      <w:pPr>
        <w:autoSpaceDE w:val="0"/>
        <w:autoSpaceDN w:val="0"/>
        <w:adjustRightInd w:val="0"/>
        <w:jc w:val="both"/>
        <w:rPr>
          <w:rFonts w:ascii="Arial Narrow" w:hAnsi="Arial Narrow"/>
          <w:color w:val="FF0000"/>
          <w:szCs w:val="22"/>
          <w:highlight w:val="green"/>
        </w:rPr>
      </w:pPr>
    </w:p>
    <w:p w:rsidR="002E13E3" w:rsidRPr="002B725B" w:rsidRDefault="002E13E3" w:rsidP="002E13E3">
      <w:pPr>
        <w:autoSpaceDE w:val="0"/>
        <w:autoSpaceDN w:val="0"/>
        <w:adjustRightInd w:val="0"/>
        <w:jc w:val="both"/>
        <w:rPr>
          <w:rFonts w:ascii="Arial Narrow" w:hAnsi="Arial Narrow"/>
          <w:bCs/>
          <w:szCs w:val="22"/>
        </w:rPr>
      </w:pPr>
      <w:r w:rsidRPr="002B725B">
        <w:rPr>
          <w:rFonts w:ascii="Arial Narrow" w:hAnsi="Arial Narrow"/>
          <w:bCs/>
          <w:szCs w:val="22"/>
        </w:rPr>
        <w:t xml:space="preserve">Последващото оценяване се извършва въз основа на цена на придобиване, намалена с натрупаните амортизации и загуби от обезценка. Направените обезценки се отчитат като разход и се признават в Отчета за доходите за съответния период.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jc w:val="both"/>
        <w:rPr>
          <w:rFonts w:ascii="Arial Narrow" w:hAnsi="Arial Narrow"/>
        </w:rPr>
      </w:pPr>
      <w:r w:rsidRPr="002B725B">
        <w:rPr>
          <w:rFonts w:ascii="Arial Narrow" w:hAnsi="Arial Narrow"/>
          <w:szCs w:val="22"/>
        </w:rPr>
        <w:t xml:space="preserve">Последващи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w:t>
      </w:r>
      <w:r w:rsidRPr="002B725B">
        <w:rPr>
          <w:rFonts w:ascii="Arial Narrow" w:hAnsi="Arial Narrow"/>
          <w:szCs w:val="22"/>
        </w:rPr>
        <w:lastRenderedPageBreak/>
        <w:t>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Сгради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25 години</w:t>
      </w: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Mашини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3 години и три месеца</w:t>
      </w: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Автомобили                                4 години</w:t>
      </w: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 xml:space="preserve">Стопански инвентар </w:t>
      </w:r>
      <w:r w:rsidRPr="002B725B">
        <w:rPr>
          <w:rFonts w:ascii="Arial Narrow" w:hAnsi="Arial Narrow"/>
          <w:szCs w:val="22"/>
        </w:rPr>
        <w:tab/>
      </w:r>
      <w:r w:rsidRPr="002B725B">
        <w:rPr>
          <w:rFonts w:ascii="Arial Narrow" w:hAnsi="Arial Narrow"/>
          <w:szCs w:val="22"/>
        </w:rPr>
        <w:tab/>
        <w:t>6 години и шест месеца</w:t>
      </w: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Компютри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2 години</w:t>
      </w:r>
    </w:p>
    <w:p w:rsidR="002E13E3" w:rsidRPr="002B725B" w:rsidRDefault="002E13E3" w:rsidP="002E13E3">
      <w:pPr>
        <w:numPr>
          <w:ilvl w:val="0"/>
          <w:numId w:val="1"/>
        </w:numPr>
        <w:autoSpaceDE w:val="0"/>
        <w:autoSpaceDN w:val="0"/>
        <w:adjustRightInd w:val="0"/>
        <w:rPr>
          <w:rFonts w:ascii="Arial Narrow" w:hAnsi="Arial Narrow"/>
          <w:szCs w:val="22"/>
        </w:rPr>
      </w:pPr>
      <w:r w:rsidRPr="002B725B">
        <w:rPr>
          <w:rFonts w:ascii="Arial Narrow" w:hAnsi="Arial Narrow"/>
          <w:szCs w:val="22"/>
        </w:rPr>
        <w:t>Други</w:t>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r>
      <w:r w:rsidRPr="002B725B">
        <w:rPr>
          <w:rFonts w:ascii="Arial Narrow" w:hAnsi="Arial Narrow"/>
          <w:szCs w:val="22"/>
        </w:rPr>
        <w:tab/>
        <w:t>6 години и шест месеца</w:t>
      </w:r>
    </w:p>
    <w:p w:rsidR="002E13E3" w:rsidRPr="002B725B" w:rsidRDefault="002E13E3" w:rsidP="002E13E3">
      <w:pPr>
        <w:autoSpaceDE w:val="0"/>
        <w:autoSpaceDN w:val="0"/>
        <w:adjustRightInd w:val="0"/>
        <w:rPr>
          <w:rFonts w:ascii="Arial Narrow" w:hAnsi="Arial Narrow"/>
          <w:szCs w:val="19"/>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Избраният праг на същественост за имоти, машини, съоръжения и оборудване на Дружеството е в размер </w:t>
      </w:r>
      <w:r w:rsidRPr="002B725B">
        <w:rPr>
          <w:rFonts w:ascii="Arial Narrow" w:hAnsi="Arial Narrow"/>
          <w:color w:val="000000"/>
          <w:szCs w:val="22"/>
        </w:rPr>
        <w:t>на 700.00</w:t>
      </w:r>
      <w:r w:rsidRPr="002B725B">
        <w:rPr>
          <w:rFonts w:ascii="Arial Narrow" w:hAnsi="Arial Narrow"/>
          <w:szCs w:val="22"/>
        </w:rPr>
        <w:t xml:space="preserve"> лв.</w:t>
      </w:r>
    </w:p>
    <w:p w:rsidR="002E13E3" w:rsidRPr="002B725B" w:rsidRDefault="002E13E3" w:rsidP="002E13E3">
      <w:pPr>
        <w:autoSpaceDE w:val="0"/>
        <w:autoSpaceDN w:val="0"/>
        <w:adjustRightInd w:val="0"/>
        <w:rPr>
          <w:rFonts w:ascii="Arial Narrow" w:hAnsi="Arial Narrow"/>
          <w:szCs w:val="19"/>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color w:val="000000"/>
          <w:szCs w:val="22"/>
          <w:lang w:val="en-US"/>
        </w:rPr>
      </w:pPr>
      <w:r w:rsidRPr="002B725B">
        <w:rPr>
          <w:rFonts w:ascii="Arial Narrow" w:hAnsi="Arial Narrow"/>
          <w:b/>
          <w:bCs/>
          <w:szCs w:val="22"/>
        </w:rPr>
        <w:t>Отчитане на лизинговите договори</w:t>
      </w:r>
    </w:p>
    <w:p w:rsidR="002E13E3"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keepNext/>
        <w:numPr>
          <w:ilvl w:val="1"/>
          <w:numId w:val="3"/>
        </w:numPr>
        <w:autoSpaceDE w:val="0"/>
        <w:autoSpaceDN w:val="0"/>
        <w:adjustRightInd w:val="0"/>
        <w:outlineLvl w:val="1"/>
        <w:rPr>
          <w:rFonts w:ascii="Arial Narrow" w:hAnsi="Arial Narrow"/>
          <w:b/>
          <w:bCs/>
          <w:szCs w:val="22"/>
        </w:rPr>
      </w:pPr>
      <w:r w:rsidRPr="002B725B">
        <w:rPr>
          <w:rFonts w:ascii="Arial Narrow" w:hAnsi="Arial Narrow"/>
          <w:b/>
          <w:bCs/>
          <w:szCs w:val="22"/>
        </w:rPr>
        <w:t>Tестове за oбезценка на нематериалните активи и имоти, машини, съоръжения и оборудване</w:t>
      </w:r>
    </w:p>
    <w:p w:rsidR="002E13E3" w:rsidRPr="002B725B" w:rsidRDefault="002E13E3" w:rsidP="002E13E3">
      <w:pPr>
        <w:rPr>
          <w:rFonts w:ascii="Arial Narrow" w:hAnsi="Arial Narrow"/>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При изчисляване на обезценката Дружеството дефинира най-малката разграничима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обезценка на индивидуална база, а други на база единица, генерираща парични потоци.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Всички активи и единици, генериращи парични потоци, се тестват за обезценка, когато събития или промяна в обстоятелства индикират, че тяхната балансова стойност може да не бъде възстановена.</w:t>
      </w:r>
    </w:p>
    <w:p w:rsidR="002E13E3" w:rsidRPr="002B725B" w:rsidRDefault="002E13E3" w:rsidP="002E13E3">
      <w:pPr>
        <w:autoSpaceDE w:val="0"/>
        <w:autoSpaceDN w:val="0"/>
        <w:adjustRightInd w:val="0"/>
        <w:jc w:val="both"/>
        <w:rPr>
          <w:rFonts w:ascii="Arial Narrow" w:hAnsi="Arial Narrow"/>
          <w:szCs w:val="22"/>
        </w:rPr>
      </w:pPr>
    </w:p>
    <w:p w:rsidR="002E13E3"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обезценка. За да </w:t>
      </w:r>
      <w:r w:rsidRPr="002B725B">
        <w:rPr>
          <w:rFonts w:ascii="Arial Narrow" w:hAnsi="Arial Narrow"/>
          <w:szCs w:val="22"/>
        </w:rPr>
        <w:lastRenderedPageBreak/>
        <w:t>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Дисконтовите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2E13E3" w:rsidRPr="002B725B" w:rsidRDefault="002E13E3" w:rsidP="002E13E3">
      <w:pPr>
        <w:autoSpaceDE w:val="0"/>
        <w:autoSpaceDN w:val="0"/>
        <w:adjustRightInd w:val="0"/>
        <w:jc w:val="both"/>
        <w:rPr>
          <w:rFonts w:ascii="Arial Narrow" w:hAnsi="Arial Narrow"/>
          <w:szCs w:val="19"/>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Загубите от обезценка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Призната в минал период обезценка се възстановява, ако възстановимата стойност на единицата, генерираща парични потоци, надвишава нейната балансова стойност.</w:t>
      </w:r>
    </w:p>
    <w:p w:rsidR="002E13E3" w:rsidRPr="002B725B" w:rsidRDefault="002E13E3" w:rsidP="002E13E3">
      <w:pPr>
        <w:autoSpaceDE w:val="0"/>
        <w:autoSpaceDN w:val="0"/>
        <w:adjustRightInd w:val="0"/>
        <w:jc w:val="both"/>
        <w:rPr>
          <w:rFonts w:ascii="Arial Narrow" w:hAnsi="Arial Narrow"/>
          <w:szCs w:val="19"/>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Инвестиционни имоти</w:t>
      </w:r>
    </w:p>
    <w:p w:rsidR="002E13E3" w:rsidRPr="002B725B" w:rsidRDefault="002E13E3" w:rsidP="002E13E3">
      <w:pPr>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Модел на справедливата стойност</w:t>
      </w: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2B725B">
        <w:rPr>
          <w:rFonts w:ascii="Arial Narrow" w:hAnsi="Arial Narrow"/>
          <w:color w:val="000000"/>
          <w:szCs w:val="22"/>
        </w:rPr>
        <w:t>които се отчитат по модела на справедливата стойност.</w:t>
      </w:r>
    </w:p>
    <w:p w:rsidR="002E13E3" w:rsidRPr="002B725B" w:rsidRDefault="002E13E3" w:rsidP="002E13E3">
      <w:pPr>
        <w:jc w:val="both"/>
        <w:rPr>
          <w:rFonts w:ascii="Arial Narrow" w:hAnsi="Arial Narrow"/>
          <w:highlight w:val="cyan"/>
        </w:rPr>
      </w:pPr>
    </w:p>
    <w:p w:rsidR="002E13E3" w:rsidRPr="002B725B" w:rsidRDefault="002E13E3" w:rsidP="002E13E3">
      <w:pPr>
        <w:autoSpaceDE w:val="0"/>
        <w:autoSpaceDN w:val="0"/>
        <w:adjustRightInd w:val="0"/>
        <w:jc w:val="both"/>
        <w:rPr>
          <w:rFonts w:ascii="Arial Narrow" w:hAnsi="Arial Narrow"/>
          <w:highlight w:val="cyan"/>
        </w:rPr>
      </w:pPr>
      <w:r w:rsidRPr="002B725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2B725B">
        <w:rPr>
          <w:rFonts w:ascii="Arial Narrow" w:hAnsi="Arial Narrow" w:cs="SPTime-Bold"/>
          <w:bCs/>
          <w:lang w:eastAsia="bg-BG"/>
        </w:rPr>
        <w:t>и скорошен опит в местонахождението и категорията на оценявания имот</w:t>
      </w:r>
      <w:r w:rsidRPr="002B725B">
        <w:rPr>
          <w:rFonts w:ascii="Arial Narrow" w:hAnsi="Arial Narrow"/>
        </w:rPr>
        <w:t>, базирайки се на доказателства за пазарните условия.</w:t>
      </w:r>
    </w:p>
    <w:p w:rsidR="002E13E3" w:rsidRPr="002B725B" w:rsidRDefault="002E13E3" w:rsidP="002E13E3">
      <w:pPr>
        <w:jc w:val="both"/>
        <w:rPr>
          <w:rFonts w:ascii="Arial Narrow" w:hAnsi="Arial Narrow"/>
          <w:highlight w:val="cyan"/>
        </w:rPr>
      </w:pPr>
    </w:p>
    <w:p w:rsidR="002E13E3" w:rsidRPr="002B725B" w:rsidRDefault="002E13E3" w:rsidP="002E13E3">
      <w:pPr>
        <w:autoSpaceDE w:val="0"/>
        <w:autoSpaceDN w:val="0"/>
        <w:adjustRightInd w:val="0"/>
        <w:jc w:val="both"/>
        <w:rPr>
          <w:rFonts w:ascii="Arial Narrow" w:hAnsi="Arial Narrow"/>
          <w:color w:val="000000"/>
        </w:rPr>
      </w:pPr>
      <w:r w:rsidRPr="002B725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2B725B">
        <w:rPr>
          <w:rFonts w:ascii="Arial Narrow" w:hAnsi="Arial Narrow" w:cs="Arial"/>
          <w:color w:val="000000"/>
        </w:rPr>
        <w:t>промени в справедливата стойност на инвестиционните имоти</w:t>
      </w:r>
      <w:r w:rsidRPr="002B725B">
        <w:rPr>
          <w:rFonts w:ascii="Arial Narrow" w:hAnsi="Arial Narrow"/>
          <w:color w:val="000000"/>
        </w:rPr>
        <w:t>”.</w:t>
      </w:r>
    </w:p>
    <w:p w:rsidR="002E13E3" w:rsidRPr="002B725B" w:rsidRDefault="002E13E3" w:rsidP="002E13E3">
      <w:pPr>
        <w:autoSpaceDE w:val="0"/>
        <w:autoSpaceDN w:val="0"/>
        <w:adjustRightInd w:val="0"/>
        <w:rPr>
          <w:rFonts w:ascii="Arial Narrow" w:hAnsi="Arial Narrow"/>
          <w:color w:val="000000"/>
        </w:rPr>
      </w:pPr>
    </w:p>
    <w:p w:rsidR="002E13E3" w:rsidRPr="002B725B" w:rsidRDefault="002E13E3" w:rsidP="002E13E3">
      <w:pPr>
        <w:jc w:val="both"/>
        <w:rPr>
          <w:rFonts w:ascii="Arial Narrow" w:hAnsi="Arial Narrow"/>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2E13E3" w:rsidRPr="002B725B" w:rsidRDefault="002E13E3" w:rsidP="002E13E3">
      <w:pPr>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Последващите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последващи разходи се признават за разход в периода, в който са възникнали.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19"/>
        </w:rPr>
      </w:pPr>
      <w:r w:rsidRPr="002B725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2E13E3" w:rsidRPr="002B725B" w:rsidRDefault="002E13E3" w:rsidP="002E13E3">
      <w:pPr>
        <w:autoSpaceDE w:val="0"/>
        <w:autoSpaceDN w:val="0"/>
        <w:adjustRightInd w:val="0"/>
        <w:jc w:val="both"/>
        <w:rPr>
          <w:rFonts w:ascii="Arial Narrow" w:hAnsi="Arial Narrow"/>
          <w:szCs w:val="22"/>
          <w:highlight w:val="cyan"/>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2E13E3" w:rsidRPr="002B725B" w:rsidRDefault="002E13E3" w:rsidP="002E13E3">
      <w:pPr>
        <w:autoSpaceDE w:val="0"/>
        <w:autoSpaceDN w:val="0"/>
        <w:adjustRightInd w:val="0"/>
        <w:jc w:val="both"/>
        <w:rPr>
          <w:rFonts w:ascii="Arial Narrow" w:hAnsi="Arial Narrow"/>
          <w:bCs/>
          <w:szCs w:val="22"/>
          <w:highlight w:val="cyan"/>
        </w:rPr>
      </w:pPr>
    </w:p>
    <w:p w:rsidR="002E13E3" w:rsidRPr="002B725B" w:rsidRDefault="002E13E3" w:rsidP="002E13E3">
      <w:pPr>
        <w:autoSpaceDE w:val="0"/>
        <w:autoSpaceDN w:val="0"/>
        <w:adjustRightInd w:val="0"/>
        <w:jc w:val="both"/>
        <w:rPr>
          <w:rFonts w:ascii="Arial Narrow" w:hAnsi="Arial Narrow"/>
          <w:b/>
          <w:bCs/>
          <w:szCs w:val="22"/>
        </w:rPr>
      </w:pPr>
      <w:r w:rsidRPr="002B725B">
        <w:rPr>
          <w:rFonts w:ascii="Arial Narrow" w:hAnsi="Arial Narrow"/>
        </w:rPr>
        <w:t>Приходите от наем и оперативните разходи, свързани с инвестиционни имоти, се отчитат съответно като „приходи” и „други разходи”.</w:t>
      </w:r>
    </w:p>
    <w:p w:rsidR="002E13E3" w:rsidRPr="002B725B" w:rsidRDefault="002E13E3" w:rsidP="002E13E3">
      <w:pPr>
        <w:rPr>
          <w:rFonts w:ascii="Arial Narrow" w:hAnsi="Arial Narrow"/>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 изключение на хеджиращите инструменти, включват следните категории финансови инструменти: </w:t>
      </w:r>
    </w:p>
    <w:p w:rsidR="002E13E3" w:rsidRPr="002B725B" w:rsidRDefault="002E13E3" w:rsidP="002E13E3">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кредити и вземания;</w:t>
      </w:r>
    </w:p>
    <w:p w:rsidR="002E13E3" w:rsidRPr="002B725B" w:rsidRDefault="002E13E3" w:rsidP="002E13E3">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отчитани по справедлива стойност в печалбата или загубата;</w:t>
      </w:r>
    </w:p>
    <w:p w:rsidR="002E13E3" w:rsidRPr="002B725B" w:rsidRDefault="002E13E3" w:rsidP="002E13E3">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инвестиции, държани до падеж;</w:t>
      </w:r>
    </w:p>
    <w:p w:rsidR="002E13E3" w:rsidRPr="002B725B" w:rsidRDefault="002E13E3" w:rsidP="002E13E3">
      <w:pPr>
        <w:numPr>
          <w:ilvl w:val="0"/>
          <w:numId w:val="4"/>
        </w:numPr>
        <w:autoSpaceDE w:val="0"/>
        <w:autoSpaceDN w:val="0"/>
        <w:adjustRightInd w:val="0"/>
        <w:jc w:val="both"/>
        <w:rPr>
          <w:rFonts w:ascii="Arial Narrow" w:hAnsi="Arial Narrow"/>
          <w:szCs w:val="22"/>
        </w:rPr>
      </w:pPr>
      <w:r w:rsidRPr="002B725B">
        <w:rPr>
          <w:rFonts w:ascii="Arial Narrow" w:hAnsi="Arial Narrow"/>
          <w:szCs w:val="22"/>
        </w:rPr>
        <w:t>финансови активи на разположение за продажба.</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jc w:val="both"/>
        <w:rPr>
          <w:rFonts w:ascii="Arial Narrow" w:eastAsia="Arial" w:hAnsi="Arial Narrow"/>
          <w:szCs w:val="18"/>
        </w:rPr>
      </w:pPr>
      <w:r w:rsidRPr="002B725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обезценка се извършват към всяка дата на изготвяне на баланса, за да се определи дали са налице обективни доказателства за наличието на обезценка на конкретни финансови активи или групи финансови активи.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Кредитите и вземанията са недеривативни финансови инструменти с фиксирани плащания, които не се търгуват на активен пазар. Кредитите и вземанията последващо се оценяват по амортизирана стойност като се използва методът на ефективния лихвен процент.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Значими вземания се тестват за обезценка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обезценка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highlight w:val="green"/>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Данъци върху дохода</w:t>
      </w:r>
    </w:p>
    <w:p w:rsidR="002E13E3" w:rsidRPr="002B725B" w:rsidRDefault="002E13E3" w:rsidP="002E13E3">
      <w:pPr>
        <w:rPr>
          <w:rFonts w:ascii="Arial Narrow" w:hAnsi="Arial Narrow"/>
        </w:rPr>
      </w:pPr>
      <w:r w:rsidRPr="002B725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2E13E3" w:rsidRPr="002B725B" w:rsidRDefault="002E13E3" w:rsidP="002E13E3">
      <w:pPr>
        <w:autoSpaceDE w:val="0"/>
        <w:autoSpaceDN w:val="0"/>
        <w:adjustRightInd w:val="0"/>
        <w:jc w:val="both"/>
        <w:rPr>
          <w:rFonts w:ascii="Arial Narrow" w:hAnsi="Arial Narrow"/>
          <w:color w:val="000000"/>
          <w:szCs w:val="22"/>
          <w:highlight w:val="cyan"/>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Пари и парични еквиваленти</w:t>
      </w:r>
    </w:p>
    <w:p w:rsidR="002E13E3" w:rsidRPr="002B725B" w:rsidRDefault="002E13E3" w:rsidP="002E13E3">
      <w:pPr>
        <w:rPr>
          <w:rFonts w:ascii="Arial Narrow" w:hAnsi="Arial Narrow"/>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2E13E3" w:rsidRPr="002B725B" w:rsidRDefault="002E13E3" w:rsidP="002E13E3">
      <w:pPr>
        <w:rPr>
          <w:rFonts w:ascii="Arial Narrow" w:hAnsi="Arial Narrow"/>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Собствен капитал и плащания на дивиденти</w:t>
      </w:r>
    </w:p>
    <w:p w:rsidR="002E13E3" w:rsidRPr="002B725B" w:rsidRDefault="002E13E3" w:rsidP="002E13E3">
      <w:pPr>
        <w:jc w:val="both"/>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Акционерният капитал на Дружеството отразява номиналната стойност на емитираните акции.</w:t>
      </w:r>
    </w:p>
    <w:p w:rsidR="002E13E3" w:rsidRPr="002B725B" w:rsidRDefault="002E13E3" w:rsidP="002E13E3">
      <w:pPr>
        <w:jc w:val="both"/>
        <w:rPr>
          <w:rFonts w:ascii="Arial Narrow" w:hAnsi="Arial Narrow"/>
          <w:szCs w:val="22"/>
          <w:lang w:val="ru-RU"/>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Неразпределената печалба</w:t>
      </w:r>
      <w:r w:rsidRPr="002B725B">
        <w:rPr>
          <w:rFonts w:ascii="Arial Narrow" w:hAnsi="Arial Narrow"/>
          <w:color w:val="FF0000"/>
          <w:szCs w:val="22"/>
        </w:rPr>
        <w:t xml:space="preserve"> </w:t>
      </w:r>
      <w:r w:rsidRPr="002B725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2E13E3" w:rsidRPr="002B725B" w:rsidRDefault="002E13E3" w:rsidP="002E13E3">
      <w:pPr>
        <w:spacing w:line="240" w:lineRule="atLeast"/>
        <w:jc w:val="both"/>
        <w:rPr>
          <w:rFonts w:ascii="Arial Narrow" w:hAnsi="Arial Narrow"/>
          <w:color w:val="000000"/>
        </w:rPr>
      </w:pPr>
    </w:p>
    <w:p w:rsidR="002E13E3" w:rsidRPr="002B725B" w:rsidRDefault="002E13E3" w:rsidP="002E13E3">
      <w:pPr>
        <w:spacing w:line="240" w:lineRule="atLeast"/>
        <w:jc w:val="both"/>
        <w:rPr>
          <w:rFonts w:ascii="Arial Narrow" w:hAnsi="Arial Narrow"/>
        </w:rPr>
      </w:pPr>
      <w:r w:rsidRPr="002B725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2B725B">
        <w:rPr>
          <w:rFonts w:ascii="Arial Narrow" w:hAnsi="Arial Narrow"/>
        </w:rPr>
        <w:t>Печалбата за разпределение е финансовият резултат (счетоводна печалба/загуба), коригиран както следва:</w:t>
      </w:r>
    </w:p>
    <w:p w:rsidR="002E13E3" w:rsidRPr="002B725B" w:rsidRDefault="002E13E3" w:rsidP="002E13E3">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1. увеличен/намален с разходите/приходите от последващи оценки на недвижими имоти;</w:t>
      </w:r>
    </w:p>
    <w:p w:rsidR="002E13E3" w:rsidRPr="002B725B" w:rsidRDefault="002E13E3" w:rsidP="002E13E3">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2E13E3" w:rsidRPr="002B725B" w:rsidRDefault="002E13E3" w:rsidP="002E13E3">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2E13E3" w:rsidRPr="002B725B" w:rsidRDefault="002E13E3" w:rsidP="002E13E3">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а) продажната цена на недвижимия имот, и</w:t>
      </w:r>
    </w:p>
    <w:p w:rsidR="002E13E3" w:rsidRPr="002B725B" w:rsidRDefault="002E13E3" w:rsidP="002E13E3">
      <w:pPr>
        <w:spacing w:line="240" w:lineRule="atLeast"/>
        <w:ind w:firstLine="640"/>
        <w:jc w:val="both"/>
        <w:rPr>
          <w:rFonts w:ascii="Arial Narrow" w:hAnsi="Arial Narrow"/>
          <w:color w:val="000000"/>
          <w:lang w:eastAsia="bg-BG"/>
        </w:rPr>
      </w:pPr>
      <w:r w:rsidRPr="002B725B">
        <w:rPr>
          <w:rFonts w:ascii="Arial Narrow" w:hAnsi="Arial Narrow"/>
          <w:color w:val="000000"/>
          <w:lang w:eastAsia="bg-BG"/>
        </w:rPr>
        <w:t>б) сумата от историческата цена на недвижимия имот и последващите разходи, довели до увеличение на балансовата му сума;</w:t>
      </w: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Пенсионни и други задължения към персонала</w:t>
      </w:r>
    </w:p>
    <w:p w:rsidR="002E13E3" w:rsidRPr="002B725B" w:rsidRDefault="002E13E3" w:rsidP="002E13E3">
      <w:pPr>
        <w:jc w:val="both"/>
        <w:rPr>
          <w:rFonts w:ascii="Arial Narrow" w:hAnsi="Arial Narrow"/>
          <w:szCs w:val="22"/>
        </w:rPr>
      </w:pPr>
      <w:r w:rsidRPr="002B725B">
        <w:rPr>
          <w:rFonts w:ascii="Arial Narrow" w:hAnsi="Arial Narrow"/>
        </w:rPr>
        <w:t>Краткосрочните задължения към персонала включват надници, заплати и социални осигуровки.</w:t>
      </w:r>
    </w:p>
    <w:p w:rsidR="002E13E3" w:rsidRPr="002B725B" w:rsidRDefault="002E13E3" w:rsidP="002E13E3">
      <w:pPr>
        <w:jc w:val="both"/>
        <w:rPr>
          <w:rFonts w:ascii="Arial Narrow" w:hAnsi="Arial Narrow"/>
          <w:b/>
          <w:szCs w:val="22"/>
        </w:rPr>
      </w:pPr>
    </w:p>
    <w:p w:rsidR="002E13E3" w:rsidRPr="002B725B" w:rsidRDefault="002E13E3" w:rsidP="002E13E3">
      <w:pPr>
        <w:jc w:val="both"/>
        <w:rPr>
          <w:rFonts w:ascii="Arial Narrow" w:hAnsi="Arial Narrow"/>
        </w:rPr>
      </w:pPr>
      <w:r w:rsidRPr="002B725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2E13E3" w:rsidRPr="002B725B" w:rsidRDefault="002E13E3" w:rsidP="002E13E3">
      <w:pPr>
        <w:jc w:val="both"/>
        <w:rPr>
          <w:rFonts w:ascii="Arial Narrow" w:hAnsi="Arial Narrow"/>
        </w:rPr>
      </w:pPr>
      <w:r w:rsidRPr="002B725B">
        <w:rPr>
          <w:rFonts w:ascii="Arial Narrow" w:hAnsi="Arial Narrow"/>
        </w:rPr>
        <w:t xml:space="preserve"> </w:t>
      </w: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Финансови пасиви</w:t>
      </w:r>
    </w:p>
    <w:p w:rsidR="002E13E3" w:rsidRPr="002B725B" w:rsidRDefault="002E13E3" w:rsidP="002E13E3">
      <w:pPr>
        <w:autoSpaceDE w:val="0"/>
        <w:autoSpaceDN w:val="0"/>
        <w:adjustRightInd w:val="0"/>
        <w:jc w:val="both"/>
        <w:rPr>
          <w:rFonts w:ascii="Arial Narrow" w:hAnsi="Arial Narrow"/>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Финансовите пасиви включват банкови заеми, търговски и други задължения.</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w:t>
      </w:r>
      <w:r w:rsidRPr="002B725B">
        <w:rPr>
          <w:rFonts w:ascii="Arial Narrow" w:hAnsi="Arial Narrow"/>
          <w:szCs w:val="22"/>
        </w:rPr>
        <w:lastRenderedPageBreak/>
        <w:t>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Търговските задължения се признават първоначално по номинална стойност и впоследствие се оценяват по амортизируема стойност, намалена с плащания по уреждане на задължението.</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2E13E3" w:rsidRPr="002B725B" w:rsidRDefault="002E13E3" w:rsidP="002E13E3">
      <w:pPr>
        <w:autoSpaceDE w:val="0"/>
        <w:autoSpaceDN w:val="0"/>
        <w:adjustRightInd w:val="0"/>
        <w:rPr>
          <w:rFonts w:ascii="Arial Narrow" w:hAnsi="Arial Narrow"/>
          <w:szCs w:val="22"/>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szCs w:val="22"/>
        </w:rPr>
      </w:pPr>
      <w:r w:rsidRPr="002B725B">
        <w:rPr>
          <w:rFonts w:ascii="Arial Narrow" w:hAnsi="Arial Narrow"/>
          <w:b/>
          <w:bCs/>
          <w:szCs w:val="22"/>
        </w:rPr>
        <w:t>Провизии, условни активи и условни пасиви</w:t>
      </w:r>
    </w:p>
    <w:p w:rsidR="002E13E3" w:rsidRPr="002B725B" w:rsidRDefault="002E13E3" w:rsidP="002E13E3">
      <w:pPr>
        <w:jc w:val="both"/>
        <w:rPr>
          <w:rFonts w:ascii="Arial Narrow" w:hAnsi="Arial Narrow"/>
        </w:rPr>
      </w:pPr>
    </w:p>
    <w:p w:rsidR="002E13E3" w:rsidRPr="002B725B" w:rsidRDefault="002E13E3" w:rsidP="002E13E3">
      <w:pPr>
        <w:autoSpaceDE w:val="0"/>
        <w:autoSpaceDN w:val="0"/>
        <w:adjustRightInd w:val="0"/>
        <w:spacing w:after="120"/>
        <w:jc w:val="both"/>
        <w:rPr>
          <w:rFonts w:ascii="Arial Narrow" w:hAnsi="Arial Narrow"/>
          <w:color w:val="000000"/>
          <w:szCs w:val="22"/>
          <w:lang w:val="ru-RU"/>
        </w:rPr>
      </w:pPr>
      <w:r w:rsidRPr="002B725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2B725B">
        <w:rPr>
          <w:rFonts w:ascii="Arial Narrow" w:hAnsi="Arial Narrow"/>
          <w:color w:val="000000"/>
          <w:lang w:eastAsia="de-DE"/>
        </w:rPr>
        <w:t>бъдещи загуби от дейността не се признават.</w:t>
      </w:r>
    </w:p>
    <w:p w:rsidR="002E13E3" w:rsidRPr="002B725B" w:rsidRDefault="002E13E3" w:rsidP="002E13E3">
      <w:pPr>
        <w:autoSpaceDE w:val="0"/>
        <w:autoSpaceDN w:val="0"/>
        <w:adjustRightInd w:val="0"/>
        <w:jc w:val="both"/>
        <w:rPr>
          <w:rFonts w:ascii="Arial Narrow" w:hAnsi="Arial Narrow"/>
          <w:lang w:eastAsia="de-DE"/>
        </w:rPr>
      </w:pPr>
      <w:r w:rsidRPr="002B725B">
        <w:rPr>
          <w:rFonts w:ascii="Arial Narrow" w:hAnsi="Arial Narrow"/>
          <w:lang w:eastAsia="de-DE"/>
        </w:rPr>
        <w:t xml:space="preserve">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дисконтират, когато ефектът от </w:t>
      </w:r>
      <w:r w:rsidRPr="002B725B">
        <w:rPr>
          <w:rFonts w:ascii="Arial Narrow" w:hAnsi="Arial Narrow" w:cs="SPTime-Bold"/>
          <w:bCs/>
          <w:lang w:eastAsia="bg-BG"/>
        </w:rPr>
        <w:t xml:space="preserve">времевите разлики в стойността на парите </w:t>
      </w:r>
      <w:r w:rsidRPr="002B725B">
        <w:rPr>
          <w:rFonts w:ascii="Arial Narrow" w:hAnsi="Arial Narrow"/>
          <w:lang w:eastAsia="de-DE"/>
        </w:rPr>
        <w:t>е значителен.</w:t>
      </w:r>
    </w:p>
    <w:p w:rsidR="002E13E3" w:rsidRPr="002B725B" w:rsidRDefault="002E13E3" w:rsidP="002E13E3">
      <w:pPr>
        <w:autoSpaceDE w:val="0"/>
        <w:autoSpaceDN w:val="0"/>
        <w:adjustRightInd w:val="0"/>
        <w:jc w:val="both"/>
        <w:rPr>
          <w:rFonts w:ascii="Arial Narrow" w:hAnsi="Arial Narrow"/>
        </w:rPr>
      </w:pPr>
    </w:p>
    <w:p w:rsidR="002E13E3" w:rsidRPr="002B725B" w:rsidRDefault="002E13E3" w:rsidP="002E13E3">
      <w:pPr>
        <w:autoSpaceDE w:val="0"/>
        <w:autoSpaceDN w:val="0"/>
        <w:adjustRightInd w:val="0"/>
        <w:jc w:val="both"/>
        <w:rPr>
          <w:rFonts w:ascii="Arial Narrow" w:hAnsi="Arial Narrow"/>
          <w:szCs w:val="22"/>
        </w:rPr>
      </w:pPr>
      <w:r w:rsidRPr="002B725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провизия. </w:t>
      </w:r>
    </w:p>
    <w:p w:rsidR="002E13E3" w:rsidRPr="002B725B" w:rsidRDefault="002E13E3" w:rsidP="002E13E3">
      <w:pPr>
        <w:autoSpaceDE w:val="0"/>
        <w:autoSpaceDN w:val="0"/>
        <w:adjustRightInd w:val="0"/>
        <w:jc w:val="both"/>
        <w:rPr>
          <w:rFonts w:ascii="Arial Narrow" w:hAnsi="Arial Narrow"/>
          <w:szCs w:val="22"/>
        </w:rPr>
      </w:pPr>
    </w:p>
    <w:p w:rsidR="002E13E3" w:rsidRPr="002B725B" w:rsidRDefault="002E13E3" w:rsidP="002E13E3">
      <w:pPr>
        <w:autoSpaceDE w:val="0"/>
        <w:autoSpaceDN w:val="0"/>
        <w:adjustRightInd w:val="0"/>
        <w:jc w:val="both"/>
        <w:rPr>
          <w:rFonts w:ascii="Arial Narrow" w:hAnsi="Arial Narrow"/>
          <w:color w:val="000000"/>
          <w:szCs w:val="22"/>
        </w:rPr>
      </w:pPr>
      <w:r w:rsidRPr="002B725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2B725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2E13E3" w:rsidRPr="002B725B" w:rsidRDefault="002E13E3" w:rsidP="002E13E3">
      <w:pPr>
        <w:autoSpaceDE w:val="0"/>
        <w:autoSpaceDN w:val="0"/>
        <w:adjustRightInd w:val="0"/>
        <w:jc w:val="both"/>
        <w:rPr>
          <w:rFonts w:ascii="Arial Narrow" w:hAnsi="Arial Narrow"/>
          <w:color w:val="000000"/>
          <w:szCs w:val="22"/>
        </w:rPr>
      </w:pPr>
    </w:p>
    <w:p w:rsidR="002E13E3" w:rsidRPr="002B725B" w:rsidRDefault="002E13E3" w:rsidP="002E13E3">
      <w:pPr>
        <w:autoSpaceDE w:val="0"/>
        <w:autoSpaceDN w:val="0"/>
        <w:adjustRightInd w:val="0"/>
        <w:jc w:val="both"/>
        <w:rPr>
          <w:rFonts w:ascii="Arial Narrow" w:hAnsi="Arial Narrow"/>
          <w:color w:val="000000"/>
          <w:szCs w:val="22"/>
          <w:lang w:val="ru-RU"/>
        </w:rPr>
      </w:pPr>
    </w:p>
    <w:p w:rsidR="002E13E3" w:rsidRPr="002B725B" w:rsidRDefault="002E13E3" w:rsidP="002E13E3">
      <w:pPr>
        <w:keepNext/>
        <w:numPr>
          <w:ilvl w:val="1"/>
          <w:numId w:val="3"/>
        </w:numPr>
        <w:autoSpaceDE w:val="0"/>
        <w:autoSpaceDN w:val="0"/>
        <w:adjustRightInd w:val="0"/>
        <w:jc w:val="both"/>
        <w:outlineLvl w:val="1"/>
        <w:rPr>
          <w:rFonts w:ascii="Arial Narrow" w:hAnsi="Arial Narrow"/>
          <w:b/>
          <w:bCs/>
          <w:iCs/>
          <w:color w:val="000000"/>
        </w:rPr>
      </w:pPr>
      <w:r w:rsidRPr="002B725B">
        <w:rPr>
          <w:rFonts w:ascii="Arial Narrow" w:hAnsi="Arial Narrow"/>
          <w:b/>
          <w:bCs/>
          <w:color w:val="000000"/>
        </w:rPr>
        <w:t>Значими преценки на ръководството при прилагане на счетоводната политика</w:t>
      </w:r>
    </w:p>
    <w:p w:rsidR="002E13E3" w:rsidRPr="002B725B" w:rsidRDefault="002E13E3" w:rsidP="002E13E3">
      <w:pPr>
        <w:keepNext/>
        <w:autoSpaceDE w:val="0"/>
        <w:autoSpaceDN w:val="0"/>
        <w:adjustRightInd w:val="0"/>
        <w:jc w:val="both"/>
        <w:outlineLvl w:val="0"/>
        <w:rPr>
          <w:rFonts w:ascii="Arial Narrow" w:hAnsi="Arial Narrow"/>
          <w:bCs/>
          <w:color w:val="000000"/>
          <w:lang w:eastAsia="de-DE"/>
        </w:rPr>
      </w:pPr>
    </w:p>
    <w:p w:rsidR="002E13E3" w:rsidRPr="002B725B" w:rsidRDefault="002E13E3" w:rsidP="002E13E3">
      <w:pPr>
        <w:keepNext/>
        <w:autoSpaceDE w:val="0"/>
        <w:autoSpaceDN w:val="0"/>
        <w:adjustRightInd w:val="0"/>
        <w:jc w:val="both"/>
        <w:outlineLvl w:val="0"/>
        <w:rPr>
          <w:rFonts w:ascii="Arial Narrow" w:hAnsi="Arial Narrow"/>
          <w:bCs/>
          <w:color w:val="000000"/>
          <w:lang w:eastAsia="de-DE"/>
        </w:rPr>
      </w:pPr>
      <w:r w:rsidRPr="002B725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2B725B">
        <w:rPr>
          <w:rFonts w:ascii="Arial Narrow" w:hAnsi="Arial Narrow"/>
          <w:bCs/>
          <w:color w:val="000000"/>
          <w:lang w:val="ru-RU" w:eastAsia="de-DE"/>
        </w:rPr>
        <w:t xml:space="preserve"> </w:t>
      </w:r>
      <w:r w:rsidRPr="002B725B">
        <w:rPr>
          <w:rFonts w:ascii="Arial Narrow" w:hAnsi="Arial Narrow"/>
          <w:bCs/>
          <w:color w:val="000000"/>
          <w:lang w:eastAsia="de-DE"/>
        </w:rPr>
        <w:t>.</w:t>
      </w:r>
    </w:p>
    <w:p w:rsidR="002E13E3" w:rsidRPr="002B725B" w:rsidRDefault="002E13E3" w:rsidP="002E13E3">
      <w:pPr>
        <w:keepNext/>
        <w:autoSpaceDE w:val="0"/>
        <w:autoSpaceDN w:val="0"/>
        <w:adjustRightInd w:val="0"/>
        <w:jc w:val="both"/>
        <w:outlineLvl w:val="0"/>
        <w:rPr>
          <w:rFonts w:ascii="Arial Narrow" w:hAnsi="Arial Narrow"/>
          <w:bCs/>
          <w:color w:val="000000"/>
          <w:lang w:eastAsia="de-DE"/>
        </w:rPr>
      </w:pPr>
    </w:p>
    <w:p w:rsidR="002E13E3" w:rsidRPr="002B725B" w:rsidRDefault="002E13E3" w:rsidP="002E13E3">
      <w:pPr>
        <w:jc w:val="both"/>
        <w:rPr>
          <w:rFonts w:ascii="Arial Narrow" w:hAnsi="Arial Narrow"/>
        </w:rPr>
      </w:pPr>
    </w:p>
    <w:p w:rsidR="002E13E3" w:rsidRPr="002B725B" w:rsidRDefault="002E13E3" w:rsidP="002E13E3">
      <w:pPr>
        <w:keepNext/>
        <w:numPr>
          <w:ilvl w:val="1"/>
          <w:numId w:val="3"/>
        </w:numPr>
        <w:autoSpaceDE w:val="0"/>
        <w:autoSpaceDN w:val="0"/>
        <w:adjustRightInd w:val="0"/>
        <w:jc w:val="both"/>
        <w:outlineLvl w:val="1"/>
        <w:rPr>
          <w:rFonts w:ascii="Arial Narrow" w:hAnsi="Arial Narrow"/>
          <w:b/>
          <w:bCs/>
          <w:color w:val="000000"/>
        </w:rPr>
      </w:pPr>
      <w:r w:rsidRPr="002B725B">
        <w:rPr>
          <w:rFonts w:ascii="Arial Narrow" w:hAnsi="Arial Narrow"/>
          <w:b/>
          <w:bCs/>
          <w:color w:val="000000"/>
        </w:rPr>
        <w:lastRenderedPageBreak/>
        <w:t>Несигурност на счетоводните приблизителни оценки</w:t>
      </w:r>
    </w:p>
    <w:p w:rsidR="002E13E3" w:rsidRPr="002B725B" w:rsidRDefault="002E13E3" w:rsidP="002E13E3">
      <w:pPr>
        <w:jc w:val="both"/>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2E13E3" w:rsidRPr="002B725B" w:rsidRDefault="002E13E3" w:rsidP="002E13E3">
      <w:pPr>
        <w:jc w:val="both"/>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2E13E3" w:rsidRPr="002B725B" w:rsidRDefault="002E13E3" w:rsidP="002E13E3">
      <w:pPr>
        <w:jc w:val="both"/>
        <w:rPr>
          <w:rFonts w:ascii="Arial Narrow" w:hAnsi="Arial Narrow"/>
        </w:rPr>
      </w:pPr>
    </w:p>
    <w:p w:rsidR="002E13E3" w:rsidRPr="002B725B" w:rsidRDefault="002E13E3" w:rsidP="002E13E3">
      <w:pPr>
        <w:jc w:val="both"/>
        <w:rPr>
          <w:rFonts w:ascii="Arial Narrow" w:hAnsi="Arial Narrow"/>
        </w:rPr>
      </w:pPr>
      <w:r w:rsidRPr="002B725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2E13E3" w:rsidRPr="002B725B" w:rsidRDefault="002E13E3" w:rsidP="002E13E3">
      <w:pPr>
        <w:autoSpaceDE w:val="0"/>
        <w:autoSpaceDN w:val="0"/>
        <w:adjustRightInd w:val="0"/>
        <w:jc w:val="both"/>
        <w:rPr>
          <w:rFonts w:ascii="Arial Narrow" w:hAnsi="Arial Narrow"/>
          <w:color w:val="000000"/>
          <w:lang w:eastAsia="de-DE"/>
        </w:rPr>
      </w:pPr>
    </w:p>
    <w:p w:rsidR="002E13E3" w:rsidRPr="002B725B" w:rsidRDefault="002E13E3" w:rsidP="002E13E3">
      <w:pPr>
        <w:autoSpaceDE w:val="0"/>
        <w:autoSpaceDN w:val="0"/>
        <w:adjustRightInd w:val="0"/>
        <w:jc w:val="both"/>
        <w:rPr>
          <w:rFonts w:ascii="Arial Narrow" w:hAnsi="Arial Narrow"/>
          <w:color w:val="000000"/>
          <w:lang w:eastAsia="de-DE"/>
        </w:rPr>
      </w:pPr>
    </w:p>
    <w:p w:rsidR="002E13E3" w:rsidRPr="002B725B" w:rsidRDefault="002E13E3" w:rsidP="002E13E3">
      <w:pPr>
        <w:keepNext/>
        <w:numPr>
          <w:ilvl w:val="1"/>
          <w:numId w:val="3"/>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2B725B">
        <w:rPr>
          <w:rFonts w:ascii="Arial Narrow" w:hAnsi="Arial Narrow"/>
          <w:b/>
          <w:bCs/>
          <w:color w:val="000000"/>
          <w:szCs w:val="22"/>
          <w:lang w:val="en-US" w:eastAsia="de-DE"/>
        </w:rPr>
        <w:t>Полезен</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живот</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на</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амортизируемите</w:t>
      </w:r>
      <w:proofErr w:type="spellEnd"/>
      <w:r w:rsidRPr="002B725B">
        <w:rPr>
          <w:rFonts w:ascii="Arial Narrow" w:hAnsi="Arial Narrow"/>
          <w:b/>
          <w:bCs/>
          <w:color w:val="000000"/>
          <w:szCs w:val="22"/>
          <w:lang w:val="en-US" w:eastAsia="de-DE"/>
        </w:rPr>
        <w:t xml:space="preserve"> </w:t>
      </w:r>
      <w:proofErr w:type="spellStart"/>
      <w:r w:rsidRPr="002B725B">
        <w:rPr>
          <w:rFonts w:ascii="Arial Narrow" w:hAnsi="Arial Narrow"/>
          <w:b/>
          <w:bCs/>
          <w:color w:val="000000"/>
          <w:szCs w:val="22"/>
          <w:lang w:val="en-US" w:eastAsia="de-DE"/>
        </w:rPr>
        <w:t>активи</w:t>
      </w:r>
      <w:proofErr w:type="spellEnd"/>
    </w:p>
    <w:p w:rsidR="002E13E3" w:rsidRPr="002B725B" w:rsidRDefault="002E13E3" w:rsidP="002E13E3">
      <w:pPr>
        <w:jc w:val="both"/>
        <w:rPr>
          <w:rFonts w:ascii="Arial Narrow" w:hAnsi="Arial Narrow"/>
          <w:lang w:eastAsia="de-DE"/>
        </w:rPr>
      </w:pPr>
    </w:p>
    <w:p w:rsidR="002E13E3" w:rsidRPr="002B725B" w:rsidRDefault="002E13E3" w:rsidP="002E13E3">
      <w:pPr>
        <w:autoSpaceDE w:val="0"/>
        <w:autoSpaceDN w:val="0"/>
        <w:adjustRightInd w:val="0"/>
        <w:jc w:val="both"/>
        <w:rPr>
          <w:rFonts w:ascii="Arial Narrow" w:hAnsi="Arial Narrow" w:cs="Garamond"/>
          <w:szCs w:val="22"/>
        </w:rPr>
      </w:pPr>
      <w:r w:rsidRPr="002B725B">
        <w:rPr>
          <w:rFonts w:ascii="Arial Narrow" w:hAnsi="Arial Narrow" w:cs="Garamond"/>
          <w:szCs w:val="22"/>
        </w:rPr>
        <w:t>Ръководството преразглежда полезния живот на амортизируемите активи в края на всеки отчетен период. Към 3</w:t>
      </w:r>
      <w:r>
        <w:rPr>
          <w:rFonts w:ascii="Arial Narrow" w:hAnsi="Arial Narrow" w:cs="Garamond"/>
          <w:szCs w:val="22"/>
        </w:rPr>
        <w:t>1</w:t>
      </w:r>
      <w:r w:rsidRPr="002B725B">
        <w:rPr>
          <w:rFonts w:ascii="Arial Narrow" w:hAnsi="Arial Narrow" w:cs="Garamond"/>
          <w:szCs w:val="22"/>
        </w:rPr>
        <w:t xml:space="preserve"> </w:t>
      </w:r>
      <w:r>
        <w:rPr>
          <w:rFonts w:ascii="Arial Narrow" w:hAnsi="Arial Narrow" w:cs="Garamond"/>
          <w:szCs w:val="22"/>
        </w:rPr>
        <w:t>декември</w:t>
      </w:r>
      <w:r w:rsidRPr="002B725B">
        <w:rPr>
          <w:rFonts w:ascii="Arial Narrow" w:hAnsi="Arial Narrow" w:cs="Garamond"/>
          <w:szCs w:val="22"/>
        </w:rPr>
        <w:t xml:space="preserve"> 201</w:t>
      </w:r>
      <w:r w:rsidR="002D6BC3">
        <w:rPr>
          <w:rFonts w:ascii="Arial Narrow" w:hAnsi="Arial Narrow" w:cs="Garamond"/>
          <w:szCs w:val="22"/>
        </w:rPr>
        <w:t>7</w:t>
      </w:r>
      <w:r w:rsidRPr="002B725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w:t>
      </w:r>
      <w:r w:rsidR="002D6BC3">
        <w:rPr>
          <w:rFonts w:ascii="Arial Narrow" w:hAnsi="Arial Narrow" w:cs="Garamond"/>
          <w:szCs w:val="22"/>
        </w:rPr>
        <w:t xml:space="preserve"> </w:t>
      </w:r>
      <w:r w:rsidRPr="002B725B">
        <w:rPr>
          <w:rFonts w:ascii="Arial Narrow" w:hAnsi="Arial Narrow" w:cs="Garamond"/>
          <w:szCs w:val="22"/>
        </w:rPr>
        <w:t>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F40B7D" w:rsidRDefault="00F40B7D"/>
    <w:p w:rsidR="002D6BC3" w:rsidRDefault="002D6BC3"/>
    <w:p w:rsidR="002E13E3" w:rsidRDefault="002E13E3" w:rsidP="002E13E3">
      <w:r>
        <w:t>Изготвил: ........................</w:t>
      </w:r>
      <w:r>
        <w:tab/>
      </w:r>
      <w:r>
        <w:tab/>
      </w:r>
      <w:r>
        <w:tab/>
      </w:r>
      <w:r>
        <w:tab/>
        <w:t>Председател на СД: ............................</w:t>
      </w:r>
    </w:p>
    <w:p w:rsidR="002E13E3" w:rsidRDefault="002E13E3" w:rsidP="002E13E3">
      <w:r>
        <w:t xml:space="preserve">              /</w:t>
      </w:r>
      <w:r>
        <w:t>Иван Евтимов</w:t>
      </w:r>
      <w:r>
        <w:t>/</w:t>
      </w:r>
      <w:r>
        <w:tab/>
      </w:r>
      <w:r>
        <w:tab/>
      </w:r>
      <w:r>
        <w:tab/>
      </w:r>
      <w:r>
        <w:tab/>
      </w:r>
      <w:r>
        <w:tab/>
      </w:r>
      <w:r>
        <w:tab/>
      </w:r>
      <w:r>
        <w:tab/>
        <w:t>/Пламен Цеков/</w:t>
      </w:r>
    </w:p>
    <w:p w:rsidR="002E13E3" w:rsidRPr="00423ED3" w:rsidRDefault="002E13E3" w:rsidP="002E13E3">
      <w:pPr>
        <w:rPr>
          <w:lang w:val="en-US"/>
        </w:rPr>
      </w:pPr>
    </w:p>
    <w:p w:rsidR="002E13E3" w:rsidRDefault="002E13E3"/>
    <w:sectPr w:rsidR="002E13E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53E"/>
    <w:multiLevelType w:val="multilevel"/>
    <w:tmpl w:val="386269A6"/>
    <w:lvl w:ilvl="0">
      <w:start w:val="1"/>
      <w:numFmt w:val="decimal"/>
      <w:pStyle w:val="Heading1"/>
      <w:lvlText w:val="%1"/>
      <w:lvlJc w:val="left"/>
      <w:pPr>
        <w:tabs>
          <w:tab w:val="num" w:pos="464"/>
        </w:tabs>
        <w:ind w:left="464"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E3"/>
    <w:rsid w:val="002D6BC3"/>
    <w:rsid w:val="002E13E3"/>
    <w:rsid w:val="00F4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9905"/>
  <w15:chartTrackingRefBased/>
  <w15:docId w15:val="{D97E9A57-1B89-48E8-A1EE-67A2C1F6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E3"/>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2E13E3"/>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2E13E3"/>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2E13E3"/>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2E13E3"/>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2E13E3"/>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2E13E3"/>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2E13E3"/>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2E13E3"/>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2E13E3"/>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3E3"/>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2E13E3"/>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2E13E3"/>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2E13E3"/>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2E13E3"/>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2E13E3"/>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2E13E3"/>
    <w:rPr>
      <w:rFonts w:ascii="Garamond" w:eastAsia="Times New Roman" w:hAnsi="Garamond" w:cs="Times New Roman"/>
      <w:b/>
      <w:bCs/>
      <w:sz w:val="24"/>
      <w:szCs w:val="19"/>
    </w:rPr>
  </w:style>
  <w:style w:type="character" w:customStyle="1" w:styleId="Heading8Char">
    <w:name w:val="Heading 8 Char"/>
    <w:basedOn w:val="DefaultParagraphFont"/>
    <w:link w:val="Heading8"/>
    <w:rsid w:val="002E13E3"/>
    <w:rPr>
      <w:rFonts w:ascii="Garamond" w:eastAsia="Times New Roman" w:hAnsi="Garamond" w:cs="Arial"/>
      <w:b/>
      <w:bCs/>
      <w:color w:val="000000"/>
      <w:szCs w:val="19"/>
    </w:rPr>
  </w:style>
  <w:style w:type="character" w:customStyle="1" w:styleId="Heading9Char">
    <w:name w:val="Heading 9 Char"/>
    <w:basedOn w:val="DefaultParagraphFont"/>
    <w:link w:val="Heading9"/>
    <w:rsid w:val="002E13E3"/>
    <w:rPr>
      <w:rFonts w:ascii="Garamond" w:eastAsia="Times New Roman" w:hAnsi="Garamond" w:cs="Times New Roman"/>
      <w:b/>
      <w:bCs/>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ZK104</dc:creator>
  <cp:keywords/>
  <dc:description/>
  <cp:lastModifiedBy>ZK104</cp:lastModifiedBy>
  <cp:revision>1</cp:revision>
  <dcterms:created xsi:type="dcterms:W3CDTF">2018-01-25T13:33:00Z</dcterms:created>
  <dcterms:modified xsi:type="dcterms:W3CDTF">2018-01-25T13:46:00Z</dcterms:modified>
</cp:coreProperties>
</file>