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57A7F" w14:textId="0F8937A6" w:rsidR="00917170" w:rsidRPr="00A94E88" w:rsidRDefault="000B5813" w:rsidP="00190247">
      <w:pPr>
        <w:jc w:val="both"/>
        <w:rPr>
          <w:sz w:val="22"/>
          <w:szCs w:val="22"/>
          <w:lang w:val="bg-BG"/>
        </w:rPr>
      </w:pPr>
      <w:r>
        <w:rPr>
          <w:sz w:val="22"/>
          <w:szCs w:val="22"/>
          <w:lang w:val="bg-BG"/>
        </w:rPr>
        <w:t xml:space="preserve"> </w:t>
      </w:r>
    </w:p>
    <w:p w14:paraId="13591509" w14:textId="77777777" w:rsidR="00917170" w:rsidRPr="00424817" w:rsidRDefault="00917170" w:rsidP="00351F4B">
      <w:pPr>
        <w:jc w:val="center"/>
        <w:rPr>
          <w:b/>
          <w:bCs/>
          <w:sz w:val="22"/>
          <w:szCs w:val="22"/>
          <w:lang w:val="bg-BG"/>
        </w:rPr>
      </w:pPr>
      <w:r w:rsidRPr="00424817">
        <w:rPr>
          <w:b/>
          <w:bCs/>
          <w:sz w:val="22"/>
          <w:szCs w:val="22"/>
          <w:lang w:val="bg-BG"/>
        </w:rPr>
        <w:t>ТРИМЕСЕЧЕН ОТЧЕТ НА  ЕМИТЕНТА „БРАВО ПРОПЪРТИ ФОНД“ АДСИЦ</w:t>
      </w:r>
    </w:p>
    <w:p w14:paraId="5B88A4E7" w14:textId="77777777" w:rsidR="00917170" w:rsidRPr="00424817" w:rsidRDefault="00917170" w:rsidP="00351F4B">
      <w:pPr>
        <w:jc w:val="center"/>
        <w:rPr>
          <w:b/>
          <w:bCs/>
          <w:sz w:val="22"/>
          <w:szCs w:val="22"/>
          <w:lang w:val="bg-BG"/>
        </w:rPr>
      </w:pPr>
      <w:r w:rsidRPr="00424817">
        <w:rPr>
          <w:b/>
          <w:bCs/>
          <w:sz w:val="22"/>
          <w:szCs w:val="22"/>
          <w:lang w:val="bg-BG"/>
        </w:rPr>
        <w:t>ПО ЧЛ. 2, т. 5 ОТ ДОГОВОРА</w:t>
      </w:r>
    </w:p>
    <w:p w14:paraId="242B1952" w14:textId="77777777" w:rsidR="00917170" w:rsidRPr="00424817" w:rsidRDefault="00917170" w:rsidP="00351F4B">
      <w:pPr>
        <w:jc w:val="center"/>
        <w:rPr>
          <w:b/>
          <w:bCs/>
          <w:sz w:val="22"/>
          <w:szCs w:val="22"/>
          <w:lang w:val="bg-BG"/>
        </w:rPr>
      </w:pPr>
      <w:r w:rsidRPr="00424817">
        <w:rPr>
          <w:b/>
          <w:bCs/>
          <w:sz w:val="22"/>
          <w:szCs w:val="22"/>
          <w:lang w:val="bg-BG"/>
        </w:rPr>
        <w:t>ЗА ИЗПЪЛНЕНИЕ НА ФУНКЦИЯТА</w:t>
      </w:r>
    </w:p>
    <w:p w14:paraId="24772BBE" w14:textId="77777777" w:rsidR="00917170" w:rsidRPr="00424817" w:rsidRDefault="00917170" w:rsidP="00351F4B">
      <w:pPr>
        <w:jc w:val="center"/>
        <w:rPr>
          <w:b/>
          <w:bCs/>
          <w:sz w:val="22"/>
          <w:szCs w:val="22"/>
          <w:lang w:val="bg-BG"/>
        </w:rPr>
      </w:pPr>
      <w:r w:rsidRPr="00424817">
        <w:rPr>
          <w:b/>
          <w:bCs/>
          <w:sz w:val="22"/>
          <w:szCs w:val="22"/>
          <w:lang w:val="bg-BG"/>
        </w:rPr>
        <w:t>ДОВЕРЕНИК НА ОБЛИГАЦИОНЕРИТЕ ОТ 11.04.2019 г.</w:t>
      </w:r>
    </w:p>
    <w:p w14:paraId="0AD5E068" w14:textId="77777777" w:rsidR="00917170" w:rsidRPr="00424817" w:rsidRDefault="00917170" w:rsidP="00351F4B">
      <w:pPr>
        <w:jc w:val="center"/>
        <w:rPr>
          <w:b/>
          <w:bCs/>
          <w:sz w:val="22"/>
          <w:szCs w:val="22"/>
          <w:lang w:val="bg-BG"/>
        </w:rPr>
      </w:pPr>
      <w:r w:rsidRPr="00424817">
        <w:rPr>
          <w:b/>
          <w:bCs/>
          <w:sz w:val="22"/>
          <w:szCs w:val="22"/>
          <w:lang w:val="bg-BG"/>
        </w:rPr>
        <w:t>ЗА ИЗПЪЛНЕНИЕТО НА ЗАДЪЛЖЕНИЯТА МУ СЪГЛАСНО УСЛОВИЯТА ПО ОБЛИГАЦИОННАТА ЕМИСИЯ</w:t>
      </w:r>
    </w:p>
    <w:p w14:paraId="4A0EBB17" w14:textId="510534FE" w:rsidR="00917170" w:rsidRPr="00424817" w:rsidRDefault="00917170" w:rsidP="00351F4B">
      <w:pPr>
        <w:jc w:val="center"/>
        <w:rPr>
          <w:b/>
          <w:bCs/>
          <w:sz w:val="22"/>
          <w:szCs w:val="22"/>
          <w:lang w:val="bg-BG"/>
        </w:rPr>
      </w:pPr>
      <w:r w:rsidRPr="00424817">
        <w:rPr>
          <w:b/>
          <w:bCs/>
          <w:sz w:val="22"/>
          <w:szCs w:val="22"/>
          <w:lang w:val="bg-BG"/>
        </w:rPr>
        <w:t xml:space="preserve">С </w:t>
      </w:r>
      <w:r w:rsidRPr="00424817">
        <w:rPr>
          <w:b/>
          <w:bCs/>
          <w:sz w:val="22"/>
          <w:szCs w:val="22"/>
          <w:lang w:val="en-US"/>
        </w:rPr>
        <w:t>ISIN</w:t>
      </w:r>
      <w:r w:rsidRPr="00424817">
        <w:rPr>
          <w:b/>
          <w:bCs/>
          <w:sz w:val="22"/>
          <w:szCs w:val="22"/>
          <w:lang w:val="bg-BG"/>
        </w:rPr>
        <w:t xml:space="preserve"> BG</w:t>
      </w:r>
      <w:r w:rsidR="009A60DC" w:rsidRPr="00424817">
        <w:rPr>
          <w:b/>
          <w:bCs/>
          <w:sz w:val="22"/>
          <w:szCs w:val="22"/>
          <w:lang w:val="en-US"/>
        </w:rPr>
        <w:t xml:space="preserve"> </w:t>
      </w:r>
      <w:r w:rsidRPr="00424817">
        <w:rPr>
          <w:b/>
          <w:bCs/>
          <w:sz w:val="22"/>
          <w:szCs w:val="22"/>
          <w:lang w:val="bg-BG"/>
        </w:rPr>
        <w:t>2100008197</w:t>
      </w:r>
    </w:p>
    <w:p w14:paraId="322C3BDF" w14:textId="0FF39A76" w:rsidR="00917170" w:rsidRPr="00424817" w:rsidRDefault="00917170" w:rsidP="00351F4B">
      <w:pPr>
        <w:jc w:val="center"/>
        <w:rPr>
          <w:b/>
          <w:bCs/>
          <w:sz w:val="22"/>
          <w:szCs w:val="22"/>
          <w:lang w:val="bg-BG"/>
        </w:rPr>
      </w:pPr>
      <w:r w:rsidRPr="00424817">
        <w:rPr>
          <w:b/>
          <w:bCs/>
          <w:sz w:val="22"/>
          <w:szCs w:val="22"/>
          <w:lang w:val="bg-BG"/>
        </w:rPr>
        <w:t xml:space="preserve">КЪМ </w:t>
      </w:r>
      <w:r w:rsidR="000A38D5" w:rsidRPr="00424817">
        <w:rPr>
          <w:b/>
          <w:bCs/>
          <w:sz w:val="22"/>
          <w:szCs w:val="22"/>
          <w:lang w:val="en-US"/>
        </w:rPr>
        <w:t>3</w:t>
      </w:r>
      <w:r w:rsidR="00470718">
        <w:rPr>
          <w:b/>
          <w:bCs/>
          <w:sz w:val="22"/>
          <w:szCs w:val="22"/>
          <w:lang w:val="en-US"/>
        </w:rPr>
        <w:t>0</w:t>
      </w:r>
      <w:r w:rsidRPr="00424817">
        <w:rPr>
          <w:b/>
          <w:bCs/>
          <w:sz w:val="22"/>
          <w:szCs w:val="22"/>
          <w:lang w:val="bg-BG"/>
        </w:rPr>
        <w:t>.</w:t>
      </w:r>
      <w:r w:rsidR="002106C2">
        <w:rPr>
          <w:b/>
          <w:bCs/>
          <w:sz w:val="22"/>
          <w:szCs w:val="22"/>
          <w:lang w:val="en-US"/>
        </w:rPr>
        <w:t>0</w:t>
      </w:r>
      <w:r w:rsidR="00470718">
        <w:rPr>
          <w:b/>
          <w:bCs/>
          <w:sz w:val="22"/>
          <w:szCs w:val="22"/>
          <w:lang w:val="en-US"/>
        </w:rPr>
        <w:t>6</w:t>
      </w:r>
      <w:r w:rsidRPr="00424817">
        <w:rPr>
          <w:b/>
          <w:bCs/>
          <w:sz w:val="22"/>
          <w:szCs w:val="22"/>
          <w:lang w:val="bg-BG"/>
        </w:rPr>
        <w:t>.20</w:t>
      </w:r>
      <w:r w:rsidR="007A1078" w:rsidRPr="00424817">
        <w:rPr>
          <w:b/>
          <w:bCs/>
          <w:sz w:val="22"/>
          <w:szCs w:val="22"/>
          <w:lang w:val="bg-BG"/>
        </w:rPr>
        <w:t>2</w:t>
      </w:r>
      <w:r w:rsidR="002106C2">
        <w:rPr>
          <w:b/>
          <w:bCs/>
          <w:sz w:val="22"/>
          <w:szCs w:val="22"/>
          <w:lang w:val="en-US"/>
        </w:rPr>
        <w:t>1</w:t>
      </w:r>
      <w:r w:rsidRPr="00424817">
        <w:rPr>
          <w:b/>
          <w:bCs/>
          <w:sz w:val="22"/>
          <w:szCs w:val="22"/>
          <w:lang w:val="bg-BG"/>
        </w:rPr>
        <w:t xml:space="preserve"> г. </w:t>
      </w:r>
    </w:p>
    <w:p w14:paraId="66019DAC" w14:textId="77777777" w:rsidR="00917170" w:rsidRPr="00424817" w:rsidRDefault="00917170" w:rsidP="00190247">
      <w:pPr>
        <w:jc w:val="both"/>
        <w:rPr>
          <w:b/>
          <w:bCs/>
          <w:sz w:val="22"/>
          <w:szCs w:val="22"/>
          <w:lang w:val="en-US"/>
        </w:rPr>
      </w:pPr>
    </w:p>
    <w:p w14:paraId="670AAA25" w14:textId="77777777" w:rsidR="00917170" w:rsidRPr="00424817" w:rsidRDefault="00917170" w:rsidP="00190247">
      <w:pPr>
        <w:tabs>
          <w:tab w:val="left" w:pos="900"/>
          <w:tab w:val="left" w:pos="1080"/>
        </w:tabs>
        <w:jc w:val="both"/>
        <w:rPr>
          <w:i/>
          <w:iCs/>
          <w:sz w:val="22"/>
          <w:szCs w:val="22"/>
          <w:lang w:val="bg-BG"/>
        </w:rPr>
      </w:pPr>
      <w:r w:rsidRPr="00424817">
        <w:rPr>
          <w:sz w:val="22"/>
          <w:szCs w:val="22"/>
          <w:lang w:val="bg-BG"/>
        </w:rPr>
        <w:t xml:space="preserve">         </w:t>
      </w:r>
      <w:r w:rsidRPr="00424817">
        <w:rPr>
          <w:i/>
          <w:iCs/>
          <w:sz w:val="22"/>
          <w:szCs w:val="22"/>
          <w:lang w:val="bg-BG"/>
        </w:rPr>
        <w:t xml:space="preserve">Настоящият отчет е изготвен в изпълнение на разпоредбата на чл. 100е, ал. 1, т. 2 от Закона за публичното предлагане на ценни книжа (ЗППЦК) и чл. 2, т. 5 от Договора за изпълнение на функцията „Довереник на облигационерите“, сключен на 11.04.2019 г. между „Браво Пропърти Фонд“ АДСИЦ, в качеството му на емитент по емисия обезпечени облигации и „Обединена Българска Банка“ АД, в качеството й на довереник на облигационерите. </w:t>
      </w:r>
    </w:p>
    <w:p w14:paraId="1F2E4567" w14:textId="77777777" w:rsidR="00917170" w:rsidRPr="00424817" w:rsidRDefault="00917170" w:rsidP="00190247">
      <w:pPr>
        <w:jc w:val="both"/>
        <w:rPr>
          <w:sz w:val="22"/>
          <w:szCs w:val="22"/>
          <w:lang w:val="bg-BG"/>
        </w:rPr>
      </w:pPr>
    </w:p>
    <w:p w14:paraId="4D2952D7" w14:textId="77777777" w:rsidR="00917170" w:rsidRPr="00424817" w:rsidRDefault="00917170" w:rsidP="00351F4B">
      <w:pPr>
        <w:pStyle w:val="ListParagraph"/>
        <w:numPr>
          <w:ilvl w:val="0"/>
          <w:numId w:val="2"/>
        </w:numPr>
        <w:ind w:left="0"/>
        <w:jc w:val="both"/>
        <w:rPr>
          <w:caps/>
          <w:sz w:val="22"/>
          <w:szCs w:val="22"/>
          <w:lang w:val="bg-BG"/>
        </w:rPr>
      </w:pPr>
      <w:r w:rsidRPr="00424817">
        <w:rPr>
          <w:b/>
          <w:bCs/>
          <w:caps/>
          <w:sz w:val="22"/>
          <w:szCs w:val="22"/>
          <w:lang w:val="bg-BG"/>
        </w:rPr>
        <w:t xml:space="preserve">Изразходване на средствата от облигационния заем </w:t>
      </w:r>
    </w:p>
    <w:p w14:paraId="455BD474" w14:textId="77777777" w:rsidR="00917170" w:rsidRPr="00424817" w:rsidRDefault="00917170" w:rsidP="00DA6D28">
      <w:pPr>
        <w:pStyle w:val="ListParagraph"/>
        <w:ind w:left="0"/>
        <w:jc w:val="both"/>
        <w:rPr>
          <w:caps/>
          <w:sz w:val="22"/>
          <w:szCs w:val="22"/>
          <w:lang w:val="bg-BG"/>
        </w:rPr>
      </w:pPr>
    </w:p>
    <w:p w14:paraId="5C628AD0" w14:textId="4D2B0C4E" w:rsidR="00917170" w:rsidRPr="00424817" w:rsidRDefault="00917170" w:rsidP="00DA6D28">
      <w:pPr>
        <w:pStyle w:val="ListParagraph"/>
        <w:ind w:left="0"/>
        <w:jc w:val="both"/>
        <w:rPr>
          <w:caps/>
          <w:sz w:val="22"/>
          <w:szCs w:val="22"/>
          <w:lang w:val="en-US"/>
        </w:rPr>
      </w:pPr>
      <w:r w:rsidRPr="00424817">
        <w:rPr>
          <w:sz w:val="22"/>
          <w:szCs w:val="22"/>
          <w:lang w:val="bg-BG"/>
        </w:rPr>
        <w:t xml:space="preserve">Към </w:t>
      </w:r>
      <w:r w:rsidR="000A38D5" w:rsidRPr="00424817">
        <w:rPr>
          <w:sz w:val="22"/>
          <w:szCs w:val="22"/>
          <w:lang w:val="bg-BG"/>
        </w:rPr>
        <w:t>3</w:t>
      </w:r>
      <w:r w:rsidR="00470718" w:rsidRPr="00D1219E">
        <w:rPr>
          <w:sz w:val="22"/>
          <w:szCs w:val="22"/>
          <w:lang w:val="bg-BG"/>
        </w:rPr>
        <w:t>0</w:t>
      </w:r>
      <w:r w:rsidRPr="00424817">
        <w:rPr>
          <w:sz w:val="22"/>
          <w:szCs w:val="22"/>
          <w:lang w:val="bg-BG"/>
        </w:rPr>
        <w:t>.</w:t>
      </w:r>
      <w:r w:rsidR="002106C2" w:rsidRPr="00D1219E">
        <w:rPr>
          <w:sz w:val="22"/>
          <w:szCs w:val="22"/>
          <w:lang w:val="bg-BG"/>
        </w:rPr>
        <w:t>0</w:t>
      </w:r>
      <w:r w:rsidR="00470718" w:rsidRPr="00D1219E">
        <w:rPr>
          <w:sz w:val="22"/>
          <w:szCs w:val="22"/>
          <w:lang w:val="bg-BG"/>
        </w:rPr>
        <w:t>6</w:t>
      </w:r>
      <w:r w:rsidRPr="00424817">
        <w:rPr>
          <w:sz w:val="22"/>
          <w:szCs w:val="22"/>
          <w:lang w:val="bg-BG"/>
        </w:rPr>
        <w:t>.20</w:t>
      </w:r>
      <w:r w:rsidR="007A1078" w:rsidRPr="00424817">
        <w:rPr>
          <w:sz w:val="22"/>
          <w:szCs w:val="22"/>
          <w:lang w:val="bg-BG"/>
        </w:rPr>
        <w:t>2</w:t>
      </w:r>
      <w:r w:rsidR="002106C2" w:rsidRPr="00D1219E">
        <w:rPr>
          <w:sz w:val="22"/>
          <w:szCs w:val="22"/>
          <w:lang w:val="bg-BG"/>
        </w:rPr>
        <w:t>1</w:t>
      </w:r>
      <w:r w:rsidRPr="00424817">
        <w:rPr>
          <w:sz w:val="22"/>
          <w:szCs w:val="22"/>
          <w:lang w:val="bg-BG"/>
        </w:rPr>
        <w:t xml:space="preserve"> г., емитентът „Браво Пропърти Фонд“ АДСИЦ е използвал набраните средства от облигационния заем в размер на 30 000 000 лв. за частично финансиране на придобиването на завършена и изцяло отдадена под наем офис сграда, с разгърната застроена площ  (РЗП) от </w:t>
      </w:r>
      <w:r w:rsidR="00022651" w:rsidRPr="00D1219E">
        <w:rPr>
          <w:sz w:val="22"/>
          <w:szCs w:val="22"/>
          <w:lang w:val="bg-BG"/>
        </w:rPr>
        <w:t xml:space="preserve">            </w:t>
      </w:r>
      <w:r w:rsidRPr="00424817">
        <w:rPr>
          <w:sz w:val="22"/>
          <w:szCs w:val="22"/>
          <w:lang w:val="bg-BG"/>
        </w:rPr>
        <w:t>14 479 кв. м. и отдаваема под наем площ от 13 391 кв. м., находяща се в УПИ VI-537,1523, кв. 8, НЗП Изток, м. Къро, р-н Младост, гр. София, заедно с поземления имот към нея.</w:t>
      </w:r>
      <w:r w:rsidR="009A60DC" w:rsidRPr="00424817">
        <w:rPr>
          <w:sz w:val="22"/>
          <w:szCs w:val="22"/>
          <w:lang w:val="bg-BG"/>
        </w:rPr>
        <w:t xml:space="preserve"> </w:t>
      </w:r>
    </w:p>
    <w:p w14:paraId="4B744320" w14:textId="77777777" w:rsidR="00917170" w:rsidRPr="00424817" w:rsidRDefault="00917170" w:rsidP="005D0BA3">
      <w:pPr>
        <w:pStyle w:val="ListParagraph"/>
        <w:ind w:left="0"/>
        <w:jc w:val="both"/>
        <w:rPr>
          <w:caps/>
          <w:sz w:val="22"/>
          <w:szCs w:val="22"/>
          <w:lang w:val="en-US"/>
        </w:rPr>
      </w:pPr>
    </w:p>
    <w:p w14:paraId="463FFC3D" w14:textId="77777777" w:rsidR="00917170" w:rsidRPr="00424817" w:rsidRDefault="00917170" w:rsidP="005D0BA3">
      <w:pPr>
        <w:pStyle w:val="ListParagraph"/>
        <w:numPr>
          <w:ilvl w:val="0"/>
          <w:numId w:val="2"/>
        </w:numPr>
        <w:ind w:left="0"/>
        <w:jc w:val="both"/>
        <w:rPr>
          <w:sz w:val="22"/>
          <w:szCs w:val="22"/>
          <w:lang w:val="en-US"/>
        </w:rPr>
      </w:pPr>
      <w:r w:rsidRPr="00424817">
        <w:rPr>
          <w:b/>
          <w:bCs/>
          <w:sz w:val="22"/>
          <w:szCs w:val="22"/>
          <w:lang w:val="bg-BG"/>
        </w:rPr>
        <w:t xml:space="preserve">ИЗВЪРШЕНИ ГЛАВНИЧНИ И КУПОННИ ПЛАЩАНИЯ </w:t>
      </w:r>
    </w:p>
    <w:p w14:paraId="1FBC934B" w14:textId="77777777" w:rsidR="00917170" w:rsidRPr="00424817" w:rsidRDefault="00917170" w:rsidP="004B1279">
      <w:pPr>
        <w:pStyle w:val="ListParagraph"/>
        <w:ind w:left="0"/>
        <w:jc w:val="both"/>
        <w:rPr>
          <w:b/>
          <w:bCs/>
          <w:sz w:val="22"/>
          <w:szCs w:val="22"/>
          <w:lang w:val="bg-BG"/>
        </w:rPr>
      </w:pPr>
    </w:p>
    <w:p w14:paraId="206B63A3" w14:textId="0783ECC6" w:rsidR="00917170" w:rsidRDefault="00917170" w:rsidP="004B1279">
      <w:pPr>
        <w:pStyle w:val="ListParagraph"/>
        <w:ind w:left="0"/>
        <w:jc w:val="both"/>
        <w:rPr>
          <w:sz w:val="22"/>
          <w:szCs w:val="22"/>
          <w:lang w:val="bg-BG"/>
        </w:rPr>
      </w:pPr>
      <w:r w:rsidRPr="00424817">
        <w:rPr>
          <w:sz w:val="22"/>
          <w:szCs w:val="22"/>
          <w:lang w:val="bg-BG"/>
        </w:rPr>
        <w:t>На 11.0</w:t>
      </w:r>
      <w:r w:rsidR="007A1078" w:rsidRPr="00424817">
        <w:rPr>
          <w:sz w:val="22"/>
          <w:szCs w:val="22"/>
          <w:lang w:val="bg-BG"/>
        </w:rPr>
        <w:t>1</w:t>
      </w:r>
      <w:r w:rsidRPr="00424817">
        <w:rPr>
          <w:sz w:val="22"/>
          <w:szCs w:val="22"/>
          <w:lang w:val="bg-BG"/>
        </w:rPr>
        <w:t>.20</w:t>
      </w:r>
      <w:r w:rsidR="007A1078" w:rsidRPr="00424817">
        <w:rPr>
          <w:sz w:val="22"/>
          <w:szCs w:val="22"/>
          <w:lang w:val="bg-BG"/>
        </w:rPr>
        <w:t>2</w:t>
      </w:r>
      <w:r w:rsidR="002106C2" w:rsidRPr="00D1219E">
        <w:rPr>
          <w:sz w:val="22"/>
          <w:szCs w:val="22"/>
          <w:lang w:val="bg-BG"/>
        </w:rPr>
        <w:t>1</w:t>
      </w:r>
      <w:r w:rsidRPr="00424817">
        <w:rPr>
          <w:sz w:val="22"/>
          <w:szCs w:val="22"/>
          <w:lang w:val="bg-BG"/>
        </w:rPr>
        <w:t xml:space="preserve"> г., съгласно одобрения погасителен план по емисията </w:t>
      </w:r>
      <w:r w:rsidR="00022651">
        <w:rPr>
          <w:sz w:val="22"/>
          <w:szCs w:val="22"/>
          <w:lang w:val="bg-BG"/>
        </w:rPr>
        <w:t xml:space="preserve">обезпечени </w:t>
      </w:r>
      <w:r w:rsidRPr="00424817">
        <w:rPr>
          <w:sz w:val="22"/>
          <w:szCs w:val="22"/>
          <w:lang w:val="bg-BG"/>
        </w:rPr>
        <w:t>облигации, „Браво Пропърти Фонд“ АДСИЦ извърши плащане за главница в размер на  225 000 лв. и за лихва в размер на</w:t>
      </w:r>
      <w:r w:rsidR="00022651">
        <w:rPr>
          <w:sz w:val="22"/>
          <w:szCs w:val="22"/>
          <w:lang w:val="bg-BG"/>
        </w:rPr>
        <w:t xml:space="preserve"> </w:t>
      </w:r>
      <w:r w:rsidR="002106C2" w:rsidRPr="002106C2">
        <w:rPr>
          <w:sz w:val="22"/>
          <w:szCs w:val="22"/>
          <w:lang w:val="bg-BG"/>
        </w:rPr>
        <w:t>234 694.52</w:t>
      </w:r>
      <w:r w:rsidR="002106C2" w:rsidRPr="00D1219E">
        <w:rPr>
          <w:sz w:val="22"/>
          <w:szCs w:val="22"/>
          <w:lang w:val="bg-BG"/>
        </w:rPr>
        <w:t xml:space="preserve"> </w:t>
      </w:r>
      <w:r w:rsidR="007A1078" w:rsidRPr="00424817">
        <w:rPr>
          <w:sz w:val="22"/>
          <w:szCs w:val="22"/>
          <w:lang w:val="bg-BG"/>
        </w:rPr>
        <w:t>лева</w:t>
      </w:r>
      <w:r w:rsidRPr="00424817">
        <w:rPr>
          <w:sz w:val="22"/>
          <w:szCs w:val="22"/>
          <w:lang w:val="bg-BG"/>
        </w:rPr>
        <w:t xml:space="preserve">, на обща стойност </w:t>
      </w:r>
      <w:r w:rsidR="002106C2" w:rsidRPr="00D1219E">
        <w:rPr>
          <w:sz w:val="22"/>
          <w:szCs w:val="22"/>
          <w:lang w:val="bg-BG"/>
        </w:rPr>
        <w:t>459</w:t>
      </w:r>
      <w:r w:rsidR="002106C2">
        <w:rPr>
          <w:sz w:val="22"/>
          <w:szCs w:val="22"/>
          <w:lang w:val="en-US"/>
        </w:rPr>
        <w:t> </w:t>
      </w:r>
      <w:r w:rsidR="002106C2" w:rsidRPr="00D1219E">
        <w:rPr>
          <w:sz w:val="22"/>
          <w:szCs w:val="22"/>
          <w:lang w:val="bg-BG"/>
        </w:rPr>
        <w:t>694.52</w:t>
      </w:r>
      <w:r w:rsidR="007A1078" w:rsidRPr="00424817">
        <w:rPr>
          <w:sz w:val="22"/>
          <w:szCs w:val="22"/>
          <w:lang w:val="bg-BG"/>
        </w:rPr>
        <w:t xml:space="preserve"> лв. </w:t>
      </w:r>
      <w:r w:rsidRPr="00424817">
        <w:rPr>
          <w:sz w:val="22"/>
          <w:szCs w:val="22"/>
          <w:lang w:val="bg-BG"/>
        </w:rPr>
        <w:t xml:space="preserve">Съгласно поетите ангажименти по издадената емисия обезпечени облигации, плащането се извърши чрез „Централен депозитар“ АД, съобразно установения в Раздел </w:t>
      </w:r>
      <w:r w:rsidRPr="00424817">
        <w:rPr>
          <w:sz w:val="22"/>
          <w:szCs w:val="22"/>
          <w:lang w:val="en-US"/>
        </w:rPr>
        <w:t>VI</w:t>
      </w:r>
      <w:r w:rsidRPr="00424817">
        <w:rPr>
          <w:sz w:val="22"/>
          <w:szCs w:val="22"/>
          <w:lang w:val="bg-BG"/>
        </w:rPr>
        <w:t xml:space="preserve"> („Извършване на плащания чрез системата на ЦД. Уведомления за Общи събрания. „Изплащане на дивидент и плащания по облигационни емисии“) от Правилника на ЦД ред. Плащанията за лихва и главница се извършиха в полза на облигационери, вписани като такива 3 (три) дни преди съответния падеж по емисията, а именно към </w:t>
      </w:r>
      <w:r w:rsidRPr="00424817">
        <w:rPr>
          <w:b/>
          <w:bCs/>
          <w:sz w:val="22"/>
          <w:szCs w:val="22"/>
          <w:lang w:val="bg-BG"/>
        </w:rPr>
        <w:t>08.0</w:t>
      </w:r>
      <w:r w:rsidR="007A1078" w:rsidRPr="00424817">
        <w:rPr>
          <w:b/>
          <w:bCs/>
          <w:sz w:val="22"/>
          <w:szCs w:val="22"/>
          <w:lang w:val="bg-BG"/>
        </w:rPr>
        <w:t>1</w:t>
      </w:r>
      <w:r w:rsidRPr="00424817">
        <w:rPr>
          <w:b/>
          <w:bCs/>
          <w:sz w:val="22"/>
          <w:szCs w:val="22"/>
          <w:lang w:val="bg-BG"/>
        </w:rPr>
        <w:t>.20</w:t>
      </w:r>
      <w:r w:rsidR="007A1078" w:rsidRPr="00424817">
        <w:rPr>
          <w:b/>
          <w:bCs/>
          <w:sz w:val="22"/>
          <w:szCs w:val="22"/>
          <w:lang w:val="bg-BG"/>
        </w:rPr>
        <w:t>2</w:t>
      </w:r>
      <w:r w:rsidR="001571B4" w:rsidRPr="00D1219E">
        <w:rPr>
          <w:b/>
          <w:bCs/>
          <w:sz w:val="22"/>
          <w:szCs w:val="22"/>
          <w:lang w:val="bg-BG"/>
        </w:rPr>
        <w:t>1</w:t>
      </w:r>
      <w:r w:rsidRPr="00424817">
        <w:rPr>
          <w:b/>
          <w:bCs/>
          <w:sz w:val="22"/>
          <w:szCs w:val="22"/>
          <w:lang w:val="bg-BG"/>
        </w:rPr>
        <w:t xml:space="preserve"> г.</w:t>
      </w:r>
      <w:r w:rsidRPr="00424817">
        <w:rPr>
          <w:sz w:val="22"/>
          <w:szCs w:val="22"/>
          <w:lang w:val="bg-BG"/>
        </w:rPr>
        <w:t xml:space="preserve"> </w:t>
      </w:r>
    </w:p>
    <w:p w14:paraId="6B1F12A3" w14:textId="221AE596" w:rsidR="00470718" w:rsidRDefault="00470718" w:rsidP="004B1279">
      <w:pPr>
        <w:pStyle w:val="ListParagraph"/>
        <w:ind w:left="0"/>
        <w:jc w:val="both"/>
        <w:rPr>
          <w:sz w:val="22"/>
          <w:szCs w:val="22"/>
          <w:lang w:val="bg-BG"/>
        </w:rPr>
      </w:pPr>
    </w:p>
    <w:p w14:paraId="6000FF65" w14:textId="7FA44AC0" w:rsidR="000A38D5" w:rsidRPr="00424817" w:rsidRDefault="00470718" w:rsidP="004B1279">
      <w:pPr>
        <w:pStyle w:val="ListParagraph"/>
        <w:ind w:left="0"/>
        <w:jc w:val="both"/>
        <w:rPr>
          <w:sz w:val="22"/>
          <w:szCs w:val="22"/>
          <w:lang w:val="bg-BG"/>
        </w:rPr>
      </w:pPr>
      <w:r>
        <w:rPr>
          <w:sz w:val="22"/>
          <w:szCs w:val="22"/>
          <w:lang w:val="bg-BG"/>
        </w:rPr>
        <w:t xml:space="preserve">На 11.04.2021 г., </w:t>
      </w:r>
      <w:r w:rsidRPr="00470718">
        <w:rPr>
          <w:sz w:val="22"/>
          <w:szCs w:val="22"/>
          <w:lang w:val="bg-BG"/>
        </w:rPr>
        <w:t>съгласно одобрения погасителен план по емисията обезпечени облигации, „Браво Пропърти Фонд“ АДСИЦ извърши плащане за главница в размер на  225 000 лв. и за лихва в размер на 227 789.38</w:t>
      </w:r>
      <w:r>
        <w:rPr>
          <w:sz w:val="22"/>
          <w:szCs w:val="22"/>
          <w:lang w:val="bg-BG"/>
        </w:rPr>
        <w:t xml:space="preserve"> </w:t>
      </w:r>
      <w:r w:rsidRPr="00470718">
        <w:rPr>
          <w:sz w:val="22"/>
          <w:szCs w:val="22"/>
          <w:lang w:val="bg-BG"/>
        </w:rPr>
        <w:t>лева, на обща стойност 45</w:t>
      </w:r>
      <w:r>
        <w:rPr>
          <w:sz w:val="22"/>
          <w:szCs w:val="22"/>
          <w:lang w:val="bg-BG"/>
        </w:rPr>
        <w:t>2 789.38</w:t>
      </w:r>
      <w:r w:rsidRPr="00470718">
        <w:rPr>
          <w:sz w:val="22"/>
          <w:szCs w:val="22"/>
          <w:lang w:val="bg-BG"/>
        </w:rPr>
        <w:t xml:space="preserve"> лв. Съгласно поетите ангажименти по издадената емисия обезпечени облигации, плащането се извърши чрез „Централен депозитар“ АД, съобразно установения в Раздел VI („Извършване на плащания чрез системата на ЦД. Уведомления за Общи събрания. „Изплащане на дивидент и плащания по облигационни емисии“) от Правилника на ЦД ред. Плащанията за лихва и главница се извършиха в полза на облигационери, вписани като такива 3 (три) дни преди съответния падеж по емисията, а именно към 08.0</w:t>
      </w:r>
      <w:r>
        <w:rPr>
          <w:sz w:val="22"/>
          <w:szCs w:val="22"/>
          <w:lang w:val="bg-BG"/>
        </w:rPr>
        <w:t>4</w:t>
      </w:r>
      <w:r w:rsidRPr="00470718">
        <w:rPr>
          <w:sz w:val="22"/>
          <w:szCs w:val="22"/>
          <w:lang w:val="bg-BG"/>
        </w:rPr>
        <w:t>.2021 г.</w:t>
      </w:r>
    </w:p>
    <w:p w14:paraId="2987CB17" w14:textId="77777777" w:rsidR="00470718" w:rsidRDefault="00470718" w:rsidP="004B1279">
      <w:pPr>
        <w:pStyle w:val="ListParagraph"/>
        <w:ind w:left="0"/>
        <w:jc w:val="both"/>
        <w:rPr>
          <w:sz w:val="22"/>
          <w:szCs w:val="22"/>
          <w:lang w:val="bg-BG"/>
        </w:rPr>
      </w:pPr>
    </w:p>
    <w:p w14:paraId="7360486C" w14:textId="77777777" w:rsidR="00470718" w:rsidRDefault="00917170" w:rsidP="004B1279">
      <w:pPr>
        <w:pStyle w:val="ListParagraph"/>
        <w:ind w:left="0"/>
        <w:jc w:val="both"/>
        <w:rPr>
          <w:sz w:val="22"/>
          <w:szCs w:val="22"/>
          <w:lang w:val="bg-BG"/>
        </w:rPr>
      </w:pPr>
      <w:r w:rsidRPr="00424817">
        <w:rPr>
          <w:sz w:val="22"/>
          <w:szCs w:val="22"/>
          <w:lang w:val="bg-BG"/>
        </w:rPr>
        <w:t>В съответствие с изискванията на чл. 100е, ал. 1, т. 3, б. „г“</w:t>
      </w:r>
      <w:r w:rsidR="00AC163F">
        <w:rPr>
          <w:sz w:val="22"/>
          <w:szCs w:val="22"/>
          <w:lang w:val="bg-BG"/>
        </w:rPr>
        <w:t xml:space="preserve"> </w:t>
      </w:r>
      <w:r w:rsidRPr="00424817">
        <w:rPr>
          <w:sz w:val="22"/>
          <w:szCs w:val="22"/>
          <w:lang w:val="bg-BG"/>
        </w:rPr>
        <w:t>от</w:t>
      </w:r>
      <w:r w:rsidR="00EF058F" w:rsidRPr="00424817">
        <w:rPr>
          <w:sz w:val="22"/>
          <w:szCs w:val="22"/>
          <w:lang w:val="bg-BG"/>
        </w:rPr>
        <w:t xml:space="preserve"> Закона за публичното предлагане на ценни книжа (</w:t>
      </w:r>
      <w:r w:rsidRPr="00424817">
        <w:rPr>
          <w:sz w:val="22"/>
          <w:szCs w:val="22"/>
          <w:lang w:val="bg-BG"/>
        </w:rPr>
        <w:t>ЗППЦК</w:t>
      </w:r>
      <w:r w:rsidR="00EF058F" w:rsidRPr="00424817">
        <w:rPr>
          <w:sz w:val="22"/>
          <w:szCs w:val="22"/>
          <w:lang w:val="bg-BG"/>
        </w:rPr>
        <w:t>)</w:t>
      </w:r>
      <w:r w:rsidRPr="00424817">
        <w:rPr>
          <w:sz w:val="22"/>
          <w:szCs w:val="22"/>
          <w:lang w:val="bg-BG"/>
        </w:rPr>
        <w:t xml:space="preserve">, Емитентът е представил на КФН, БФБ, обществеността, както и </w:t>
      </w:r>
      <w:r w:rsidR="00EF058F" w:rsidRPr="00424817">
        <w:rPr>
          <w:sz w:val="22"/>
          <w:szCs w:val="22"/>
          <w:lang w:val="bg-BG"/>
        </w:rPr>
        <w:t xml:space="preserve">на </w:t>
      </w:r>
      <w:r w:rsidRPr="00424817">
        <w:rPr>
          <w:sz w:val="22"/>
          <w:szCs w:val="22"/>
          <w:lang w:val="bg-BG"/>
        </w:rPr>
        <w:t>банката-довереник  - „Обединена Българска Банка“ АД уведомлени</w:t>
      </w:r>
      <w:r w:rsidR="00AC163F">
        <w:rPr>
          <w:sz w:val="22"/>
          <w:szCs w:val="22"/>
          <w:lang w:val="bg-BG"/>
        </w:rPr>
        <w:t>я</w:t>
      </w:r>
      <w:r w:rsidRPr="00424817">
        <w:rPr>
          <w:sz w:val="22"/>
          <w:szCs w:val="22"/>
          <w:lang w:val="bg-BG"/>
        </w:rPr>
        <w:t xml:space="preserve"> относно извършен</w:t>
      </w:r>
      <w:r w:rsidR="009A60DC" w:rsidRPr="00424817">
        <w:rPr>
          <w:sz w:val="22"/>
          <w:szCs w:val="22"/>
          <w:lang w:val="bg-BG"/>
        </w:rPr>
        <w:t>ите</w:t>
      </w:r>
      <w:r w:rsidRPr="00424817">
        <w:rPr>
          <w:sz w:val="22"/>
          <w:szCs w:val="22"/>
          <w:lang w:val="bg-BG"/>
        </w:rPr>
        <w:t xml:space="preserve"> лихвен</w:t>
      </w:r>
      <w:r w:rsidR="009A60DC" w:rsidRPr="00424817">
        <w:rPr>
          <w:sz w:val="22"/>
          <w:szCs w:val="22"/>
          <w:lang w:val="bg-BG"/>
        </w:rPr>
        <w:t>и</w:t>
      </w:r>
      <w:r w:rsidRPr="00424817">
        <w:rPr>
          <w:sz w:val="22"/>
          <w:szCs w:val="22"/>
          <w:lang w:val="bg-BG"/>
        </w:rPr>
        <w:t xml:space="preserve"> и главничн</w:t>
      </w:r>
      <w:r w:rsidR="009A60DC" w:rsidRPr="00424817">
        <w:rPr>
          <w:sz w:val="22"/>
          <w:szCs w:val="22"/>
          <w:lang w:val="bg-BG"/>
        </w:rPr>
        <w:t>и</w:t>
      </w:r>
      <w:r w:rsidRPr="00424817">
        <w:rPr>
          <w:sz w:val="22"/>
          <w:szCs w:val="22"/>
          <w:lang w:val="bg-BG"/>
        </w:rPr>
        <w:t xml:space="preserve"> плащан</w:t>
      </w:r>
      <w:r w:rsidR="009A60DC" w:rsidRPr="00424817">
        <w:rPr>
          <w:sz w:val="22"/>
          <w:szCs w:val="22"/>
          <w:lang w:val="bg-BG"/>
        </w:rPr>
        <w:t>ия</w:t>
      </w:r>
      <w:r w:rsidRPr="00424817">
        <w:rPr>
          <w:sz w:val="22"/>
          <w:szCs w:val="22"/>
          <w:lang w:val="bg-BG"/>
        </w:rPr>
        <w:t xml:space="preserve"> по облигационната емисия.   </w:t>
      </w:r>
    </w:p>
    <w:p w14:paraId="2BA08A63" w14:textId="77777777" w:rsidR="00470718" w:rsidRDefault="00470718" w:rsidP="004B1279">
      <w:pPr>
        <w:pStyle w:val="ListParagraph"/>
        <w:ind w:left="0"/>
        <w:jc w:val="both"/>
        <w:rPr>
          <w:sz w:val="22"/>
          <w:szCs w:val="22"/>
          <w:lang w:val="bg-BG"/>
        </w:rPr>
      </w:pPr>
    </w:p>
    <w:p w14:paraId="4AAD19D4" w14:textId="77777777" w:rsidR="00470718" w:rsidRDefault="00470718" w:rsidP="004B1279">
      <w:pPr>
        <w:pStyle w:val="ListParagraph"/>
        <w:ind w:left="0"/>
        <w:jc w:val="both"/>
        <w:rPr>
          <w:sz w:val="22"/>
          <w:szCs w:val="22"/>
          <w:lang w:val="bg-BG"/>
        </w:rPr>
      </w:pPr>
    </w:p>
    <w:p w14:paraId="11C81F68" w14:textId="48E9C165" w:rsidR="00917170" w:rsidRPr="00424817" w:rsidRDefault="00917170" w:rsidP="004B1279">
      <w:pPr>
        <w:pStyle w:val="ListParagraph"/>
        <w:ind w:left="0"/>
        <w:jc w:val="both"/>
        <w:rPr>
          <w:b/>
          <w:bCs/>
          <w:sz w:val="22"/>
          <w:szCs w:val="22"/>
          <w:lang w:val="bg-BG"/>
        </w:rPr>
      </w:pPr>
      <w:r w:rsidRPr="00424817">
        <w:rPr>
          <w:b/>
          <w:bCs/>
          <w:sz w:val="22"/>
          <w:szCs w:val="22"/>
          <w:lang w:val="bg-BG"/>
        </w:rPr>
        <w:t xml:space="preserve">  </w:t>
      </w:r>
    </w:p>
    <w:p w14:paraId="45699566" w14:textId="77777777" w:rsidR="00917170" w:rsidRPr="00424817" w:rsidRDefault="00917170" w:rsidP="004B1279">
      <w:pPr>
        <w:pStyle w:val="ListParagraph"/>
        <w:ind w:left="0"/>
        <w:jc w:val="both"/>
        <w:rPr>
          <w:sz w:val="22"/>
          <w:szCs w:val="22"/>
          <w:lang w:val="bg-BG"/>
        </w:rPr>
      </w:pPr>
      <w:r w:rsidRPr="00424817">
        <w:rPr>
          <w:sz w:val="22"/>
          <w:szCs w:val="22"/>
          <w:lang w:val="bg-BG"/>
        </w:rPr>
        <w:t xml:space="preserve">      </w:t>
      </w:r>
    </w:p>
    <w:p w14:paraId="7E9541DE" w14:textId="77777777" w:rsidR="00917170" w:rsidRPr="00424817" w:rsidRDefault="00917170" w:rsidP="004B1279">
      <w:pPr>
        <w:pStyle w:val="ListParagraph"/>
        <w:ind w:left="0"/>
        <w:jc w:val="both"/>
        <w:rPr>
          <w:b/>
          <w:bCs/>
          <w:sz w:val="22"/>
          <w:szCs w:val="22"/>
          <w:lang w:val="bg-BG"/>
        </w:rPr>
      </w:pPr>
    </w:p>
    <w:p w14:paraId="3F0CDD5B" w14:textId="73BF04F9" w:rsidR="00917170" w:rsidRPr="00424817" w:rsidRDefault="00917170" w:rsidP="009A60DC">
      <w:pPr>
        <w:pStyle w:val="ListParagraph"/>
        <w:numPr>
          <w:ilvl w:val="0"/>
          <w:numId w:val="2"/>
        </w:numPr>
        <w:ind w:left="0"/>
        <w:jc w:val="both"/>
        <w:rPr>
          <w:b/>
          <w:bCs/>
          <w:sz w:val="22"/>
          <w:szCs w:val="22"/>
          <w:lang w:val="bg-BG"/>
        </w:rPr>
      </w:pPr>
      <w:r w:rsidRPr="00424817">
        <w:rPr>
          <w:b/>
          <w:bCs/>
          <w:sz w:val="22"/>
          <w:szCs w:val="22"/>
          <w:lang w:val="bg-BG"/>
        </w:rPr>
        <w:t>ИНФОРМАЦИЯ ОТНОСНО ОБЕЗПЕЧЕНИЕТО КЪМ 3</w:t>
      </w:r>
      <w:r w:rsidR="00470718">
        <w:rPr>
          <w:b/>
          <w:bCs/>
          <w:sz w:val="22"/>
          <w:szCs w:val="22"/>
          <w:lang w:val="bg-BG"/>
        </w:rPr>
        <w:t>0</w:t>
      </w:r>
      <w:r w:rsidRPr="00424817">
        <w:rPr>
          <w:b/>
          <w:bCs/>
          <w:sz w:val="22"/>
          <w:szCs w:val="22"/>
          <w:lang w:val="bg-BG"/>
        </w:rPr>
        <w:t>.</w:t>
      </w:r>
      <w:r w:rsidR="001571B4" w:rsidRPr="00D1219E">
        <w:rPr>
          <w:b/>
          <w:bCs/>
          <w:sz w:val="22"/>
          <w:szCs w:val="22"/>
          <w:lang w:val="bg-BG"/>
        </w:rPr>
        <w:t>0</w:t>
      </w:r>
      <w:r w:rsidR="00470718">
        <w:rPr>
          <w:b/>
          <w:bCs/>
          <w:sz w:val="22"/>
          <w:szCs w:val="22"/>
          <w:lang w:val="bg-BG"/>
        </w:rPr>
        <w:t>6</w:t>
      </w:r>
      <w:r w:rsidRPr="00424817">
        <w:rPr>
          <w:b/>
          <w:bCs/>
          <w:sz w:val="22"/>
          <w:szCs w:val="22"/>
          <w:lang w:val="bg-BG"/>
        </w:rPr>
        <w:t>.20</w:t>
      </w:r>
      <w:r w:rsidR="00EF058F" w:rsidRPr="00424817">
        <w:rPr>
          <w:b/>
          <w:bCs/>
          <w:sz w:val="22"/>
          <w:szCs w:val="22"/>
          <w:lang w:val="bg-BG"/>
        </w:rPr>
        <w:t>2</w:t>
      </w:r>
      <w:r w:rsidR="001571B4" w:rsidRPr="00D1219E">
        <w:rPr>
          <w:b/>
          <w:bCs/>
          <w:sz w:val="22"/>
          <w:szCs w:val="22"/>
          <w:lang w:val="bg-BG"/>
        </w:rPr>
        <w:t>1</w:t>
      </w:r>
      <w:r w:rsidRPr="00424817">
        <w:rPr>
          <w:b/>
          <w:bCs/>
          <w:sz w:val="22"/>
          <w:szCs w:val="22"/>
          <w:lang w:val="bg-BG"/>
        </w:rPr>
        <w:t xml:space="preserve"> г</w:t>
      </w:r>
      <w:r w:rsidR="009A60DC" w:rsidRPr="00424817">
        <w:rPr>
          <w:b/>
          <w:bCs/>
          <w:sz w:val="22"/>
          <w:szCs w:val="22"/>
          <w:lang w:val="bg-BG"/>
        </w:rPr>
        <w:t>.</w:t>
      </w:r>
      <w:r w:rsidRPr="00424817">
        <w:rPr>
          <w:b/>
          <w:bCs/>
          <w:sz w:val="22"/>
          <w:szCs w:val="22"/>
          <w:lang w:val="bg-BG"/>
        </w:rPr>
        <w:t xml:space="preserve"> </w:t>
      </w:r>
    </w:p>
    <w:p w14:paraId="6B94C1B3" w14:textId="77777777" w:rsidR="00917170" w:rsidRPr="00424817" w:rsidRDefault="00917170" w:rsidP="00190247">
      <w:pPr>
        <w:pStyle w:val="ListParagraph"/>
        <w:jc w:val="both"/>
        <w:rPr>
          <w:sz w:val="22"/>
          <w:szCs w:val="22"/>
          <w:lang w:val="bg-BG"/>
        </w:rPr>
      </w:pPr>
    </w:p>
    <w:p w14:paraId="44D7E178" w14:textId="77777777" w:rsidR="00917170" w:rsidRPr="00424817" w:rsidRDefault="00917170" w:rsidP="001C15B8">
      <w:pPr>
        <w:pStyle w:val="ListParagraph"/>
        <w:numPr>
          <w:ilvl w:val="1"/>
          <w:numId w:val="2"/>
        </w:numPr>
        <w:ind w:left="0" w:hanging="357"/>
        <w:jc w:val="both"/>
        <w:rPr>
          <w:sz w:val="22"/>
          <w:szCs w:val="22"/>
          <w:lang w:val="bg-BG"/>
        </w:rPr>
      </w:pPr>
      <w:r w:rsidRPr="00424817">
        <w:rPr>
          <w:b/>
          <w:bCs/>
          <w:caps/>
          <w:sz w:val="22"/>
          <w:szCs w:val="22"/>
          <w:lang w:val="bg-BG"/>
        </w:rPr>
        <w:t>Описание на всички учредени обезпечения и тяхната поредност на вписвания</w:t>
      </w:r>
      <w:r w:rsidRPr="00424817">
        <w:rPr>
          <w:sz w:val="22"/>
          <w:szCs w:val="22"/>
          <w:lang w:val="bg-BG"/>
        </w:rPr>
        <w:t>;</w:t>
      </w:r>
    </w:p>
    <w:p w14:paraId="28F192BC" w14:textId="77777777" w:rsidR="00917170" w:rsidRPr="00424817" w:rsidRDefault="00917170" w:rsidP="007702AA">
      <w:pPr>
        <w:pStyle w:val="ListParagraph"/>
        <w:ind w:left="0"/>
        <w:jc w:val="both"/>
        <w:rPr>
          <w:b/>
          <w:bCs/>
          <w:caps/>
          <w:sz w:val="22"/>
          <w:szCs w:val="22"/>
          <w:lang w:val="bg-BG"/>
        </w:rPr>
      </w:pPr>
    </w:p>
    <w:p w14:paraId="5696FD7A" w14:textId="7BE38698" w:rsidR="00917170" w:rsidRPr="00424817" w:rsidRDefault="00917170" w:rsidP="007702AA">
      <w:pPr>
        <w:spacing w:before="120" w:after="120"/>
        <w:ind w:firstLine="357"/>
        <w:jc w:val="both"/>
        <w:rPr>
          <w:sz w:val="22"/>
          <w:szCs w:val="22"/>
          <w:lang w:val="bg-BG"/>
        </w:rPr>
      </w:pPr>
      <w:r w:rsidRPr="00424817">
        <w:rPr>
          <w:sz w:val="22"/>
          <w:szCs w:val="22"/>
          <w:lang w:val="bg-BG"/>
        </w:rPr>
        <w:t xml:space="preserve">За обезпечаване  погасяването на всички вземания на облигационерите по облигационния заем и вземанията на банката довереник на облигационерите по Договора за изпълнение на функцията довереник на облигационерите, Емитентът е учредил: </w:t>
      </w:r>
    </w:p>
    <w:p w14:paraId="1B4C40F5" w14:textId="77777777" w:rsidR="009A60DC" w:rsidRPr="00424817" w:rsidRDefault="009A60DC" w:rsidP="007702AA">
      <w:pPr>
        <w:spacing w:before="120" w:after="120"/>
        <w:ind w:firstLine="357"/>
        <w:jc w:val="both"/>
        <w:rPr>
          <w:sz w:val="22"/>
          <w:szCs w:val="22"/>
          <w:lang w:val="bg-BG"/>
        </w:rPr>
      </w:pPr>
    </w:p>
    <w:p w14:paraId="79872096" w14:textId="77777777" w:rsidR="00917170" w:rsidRPr="00424817" w:rsidRDefault="00917170" w:rsidP="00C77A3D">
      <w:pPr>
        <w:pStyle w:val="ListParagraph"/>
        <w:numPr>
          <w:ilvl w:val="2"/>
          <w:numId w:val="2"/>
        </w:numPr>
        <w:spacing w:before="120" w:after="120"/>
        <w:ind w:left="0" w:firstLine="709"/>
        <w:jc w:val="both"/>
        <w:rPr>
          <w:sz w:val="22"/>
          <w:szCs w:val="22"/>
          <w:lang w:val="bg-BG"/>
        </w:rPr>
      </w:pPr>
      <w:r w:rsidRPr="00424817">
        <w:rPr>
          <w:b/>
          <w:bCs/>
          <w:caps/>
          <w:sz w:val="22"/>
          <w:szCs w:val="22"/>
          <w:lang w:val="bg-BG"/>
        </w:rPr>
        <w:t>Ипотека върху офис сградата и поземления имот:</w:t>
      </w:r>
    </w:p>
    <w:p w14:paraId="4FFA1094" w14:textId="77777777" w:rsidR="00917170" w:rsidRPr="00424817" w:rsidRDefault="00917170" w:rsidP="00C77A3D">
      <w:pPr>
        <w:pStyle w:val="ListParagraph"/>
        <w:spacing w:before="120" w:after="120"/>
        <w:ind w:left="0" w:firstLine="709"/>
        <w:jc w:val="both"/>
        <w:rPr>
          <w:sz w:val="22"/>
          <w:szCs w:val="22"/>
          <w:lang w:val="bg-BG"/>
        </w:rPr>
      </w:pPr>
    </w:p>
    <w:p w14:paraId="475AE1CB" w14:textId="77777777" w:rsidR="00917170" w:rsidRPr="00424817" w:rsidRDefault="00917170" w:rsidP="00C77A3D">
      <w:pPr>
        <w:pStyle w:val="ListParagraph"/>
        <w:spacing w:before="120" w:after="120"/>
        <w:ind w:left="0" w:firstLine="709"/>
        <w:jc w:val="both"/>
        <w:rPr>
          <w:sz w:val="22"/>
          <w:szCs w:val="22"/>
          <w:lang w:val="bg-BG"/>
        </w:rPr>
      </w:pPr>
      <w:r w:rsidRPr="00424817">
        <w:rPr>
          <w:sz w:val="22"/>
          <w:szCs w:val="22"/>
          <w:lang w:val="bg-BG"/>
        </w:rPr>
        <w:t xml:space="preserve">ОПИСАНИЕ НА ОБЕЗПЕЧЕНИЕТО: Първа по ред ипотека в полза на довереника на облигационерите „ОББ“ АД (избран на проведено на 14.05.2019 г. общо събрание на облигационерите)  върху офис сграда и поземления имот, закупуването на които е предмет на финансиране с облигационната емисия, а именно офис сграда с разгърната застроена площ  (РЗП) от 14 479 кв. м., находяща се в УПИ VI-537,1523, кв. 8, НЗП Изток, м. Къро, р-н Младост, гр. София, описана по-подробно по-долу („Имотите“). </w:t>
      </w:r>
    </w:p>
    <w:p w14:paraId="04951565" w14:textId="53CB4557" w:rsidR="00917170" w:rsidRPr="00424817" w:rsidRDefault="00917170" w:rsidP="00C77A3D">
      <w:pPr>
        <w:pStyle w:val="ListParagraph"/>
        <w:spacing w:before="120" w:after="120"/>
        <w:ind w:left="0" w:firstLine="709"/>
        <w:jc w:val="both"/>
        <w:rPr>
          <w:sz w:val="22"/>
          <w:szCs w:val="22"/>
          <w:lang w:val="bg-BG"/>
        </w:rPr>
      </w:pPr>
      <w:r w:rsidRPr="00424817">
        <w:rPr>
          <w:sz w:val="22"/>
          <w:szCs w:val="22"/>
          <w:lang w:val="bg-BG"/>
        </w:rPr>
        <w:t xml:space="preserve">Описание на Имотите: Урегулиран Поземлен Имот (УПИ), за който по кадастралната карта и регистри, одобрени със заповед № РД-18-35/09.06.2011 година на Изпълнителния директор на Агенция по геодезия, картография и кадастър (АГКК) е определен идентификатор № 68134.4081.537, с адрес на поземления имот: град София, район ,,Младост“, с площ на имота по скица на АГКК от 4 138,00 (четири хиляди сто тридесет и осем) квадратни метра, трайно предназначение на територията: урбанизирана, начин на трайно ползване: за друг вид застрояване, стар идентификатор: няма, номер по предходен план: 537 (петстотин тридесет и седем), квартал: 8 (осем), парцел: VІ (шести), при съседи на имота по скица на АКГГ: 68134.4081.9647; 68134.4081.9648; 68134.4081.1430; 68134.4081.2116; 68134.4081.1524; 68134.4081.166; 68134.4081.1037, ЗАЕДНО с изградената в този имот в груб строеж Новострояща се Офис сграда с подземен паркинг, кафе – сладкарница и трафопост, за която сграда е издадено Разрешение за строеж №48 от 24.03.2017 г. на Главния архитект на Столична община, за която по кадастралната карта и регистри, одобрени със заповед № РД-18-35/09.06.2011 година на Изпълнителния директор на Агенция по геодезия, картография и кадастър (АГКК) е определен идентификатор № 68134.4081.537.1, с адрес на сградата: град София, район ,,Младост“, разположена в имот с идентификатор 68134.4081.537, със застроена площ на сградата по скица на АГКК от 2 065,00 (две хиляди и шестдесет и пет) квадратни метра, брой етажи: 7 (седем), с предназначение: Сграда със смесено предназначение, стар идентификатор: няма, номер по предходен план: няма, като в нотариалния акт за учредяване на ипотека сградата ще бъде описана и съгласно одобрените архитектурни проекти за построяване на сградата, ведно и заедно с всички подобрения и приращения в поземления имот. По одобрени строителни книжа, </w:t>
      </w:r>
      <w:r w:rsidR="006949B0" w:rsidRPr="00424817">
        <w:rPr>
          <w:sz w:val="22"/>
          <w:szCs w:val="22"/>
          <w:lang w:val="bg-BG"/>
        </w:rPr>
        <w:t>с</w:t>
      </w:r>
      <w:r w:rsidRPr="00424817">
        <w:rPr>
          <w:sz w:val="22"/>
          <w:szCs w:val="22"/>
          <w:lang w:val="bg-BG"/>
        </w:rPr>
        <w:t>градата е със Застроена Площ (ЗП) от 2,022 кв. м., Разгъната застроена площ (РЗП) от 14,479 кв. м., 2 подземни нива с обща площ от 7,640.42 кв. м., съгласно одобрен архитектурен проект и кадастрални схеми.</w:t>
      </w:r>
    </w:p>
    <w:p w14:paraId="666285B4" w14:textId="77777777" w:rsidR="00917170" w:rsidRPr="00424817" w:rsidRDefault="00917170" w:rsidP="00C77A3D">
      <w:pPr>
        <w:pStyle w:val="ListParagraph"/>
        <w:ind w:left="0" w:firstLine="709"/>
        <w:jc w:val="both"/>
        <w:rPr>
          <w:sz w:val="22"/>
          <w:szCs w:val="22"/>
          <w:lang w:val="bg-BG"/>
        </w:rPr>
      </w:pPr>
    </w:p>
    <w:p w14:paraId="6CB02534" w14:textId="65EC308A" w:rsidR="00917170" w:rsidRPr="00424817" w:rsidRDefault="00917170" w:rsidP="003F49DF">
      <w:pPr>
        <w:ind w:firstLine="426"/>
        <w:jc w:val="both"/>
        <w:rPr>
          <w:sz w:val="22"/>
          <w:szCs w:val="22"/>
          <w:lang w:val="bg-BG"/>
        </w:rPr>
      </w:pPr>
      <w:r w:rsidRPr="00424817">
        <w:rPr>
          <w:sz w:val="22"/>
          <w:szCs w:val="22"/>
          <w:lang w:val="bg-BG"/>
        </w:rPr>
        <w:t>Към 3</w:t>
      </w:r>
      <w:r w:rsidR="00470718">
        <w:rPr>
          <w:sz w:val="22"/>
          <w:szCs w:val="22"/>
          <w:lang w:val="bg-BG"/>
        </w:rPr>
        <w:t>0</w:t>
      </w:r>
      <w:r w:rsidRPr="00424817">
        <w:rPr>
          <w:sz w:val="22"/>
          <w:szCs w:val="22"/>
          <w:lang w:val="bg-BG"/>
        </w:rPr>
        <w:t>.</w:t>
      </w:r>
      <w:r w:rsidR="001571B4" w:rsidRPr="00D1219E">
        <w:rPr>
          <w:sz w:val="22"/>
          <w:szCs w:val="22"/>
          <w:lang w:val="bg-BG"/>
        </w:rPr>
        <w:t>0</w:t>
      </w:r>
      <w:r w:rsidR="00470718">
        <w:rPr>
          <w:sz w:val="22"/>
          <w:szCs w:val="22"/>
          <w:lang w:val="bg-BG"/>
        </w:rPr>
        <w:t>6</w:t>
      </w:r>
      <w:r w:rsidRPr="00424817">
        <w:rPr>
          <w:sz w:val="22"/>
          <w:szCs w:val="22"/>
          <w:lang w:val="bg-BG"/>
        </w:rPr>
        <w:t>.20</w:t>
      </w:r>
      <w:r w:rsidR="00EF058F" w:rsidRPr="00424817">
        <w:rPr>
          <w:sz w:val="22"/>
          <w:szCs w:val="22"/>
          <w:lang w:val="bg-BG"/>
        </w:rPr>
        <w:t>2</w:t>
      </w:r>
      <w:r w:rsidR="001571B4" w:rsidRPr="00D1219E">
        <w:rPr>
          <w:sz w:val="22"/>
          <w:szCs w:val="22"/>
          <w:lang w:val="bg-BG"/>
        </w:rPr>
        <w:t>1</w:t>
      </w:r>
      <w:r w:rsidRPr="00424817">
        <w:rPr>
          <w:sz w:val="22"/>
          <w:szCs w:val="22"/>
          <w:lang w:val="bg-BG"/>
        </w:rPr>
        <w:t xml:space="preserve"> г.</w:t>
      </w:r>
      <w:bookmarkStart w:id="0" w:name="_Hlk14163316"/>
      <w:r w:rsidRPr="00424817">
        <w:rPr>
          <w:sz w:val="22"/>
          <w:szCs w:val="22"/>
          <w:lang w:val="bg-BG"/>
        </w:rPr>
        <w:t xml:space="preserve"> всички гаранции за изпълнение от страна на строителните фирми, ангажирани със строителни дейности са прехвърлени в полза на Емитента.</w:t>
      </w:r>
    </w:p>
    <w:p w14:paraId="3C901B6D" w14:textId="77777777" w:rsidR="00917170" w:rsidRPr="00424817" w:rsidRDefault="00917170" w:rsidP="003F49DF">
      <w:pPr>
        <w:ind w:firstLine="426"/>
        <w:jc w:val="both"/>
        <w:rPr>
          <w:sz w:val="22"/>
          <w:szCs w:val="22"/>
          <w:lang w:val="bg-BG"/>
        </w:rPr>
      </w:pPr>
    </w:p>
    <w:p w14:paraId="2C3C15E8" w14:textId="77777777" w:rsidR="00AC163F" w:rsidRDefault="00917170" w:rsidP="003F49DF">
      <w:pPr>
        <w:ind w:left="284" w:firstLine="426"/>
        <w:jc w:val="both"/>
        <w:rPr>
          <w:sz w:val="22"/>
          <w:szCs w:val="22"/>
          <w:lang w:val="bg-BG"/>
        </w:rPr>
      </w:pPr>
      <w:r w:rsidRPr="00424817">
        <w:rPr>
          <w:sz w:val="22"/>
          <w:szCs w:val="22"/>
          <w:lang w:val="bg-BG"/>
        </w:rPr>
        <w:t xml:space="preserve">Емитентът е осигурил подписването на приложение към предварителния договор („Приложение № 3 към Предварителен договор за покупко-продажба от 18.02.2019 г.), страни по което са „Офис А“ ООД, ЕИК 204124346 – продавач и „Браво Пропърти Фонд“ АДСИЦ – купувач. </w:t>
      </w:r>
    </w:p>
    <w:p w14:paraId="22A6495B" w14:textId="67FE9236" w:rsidR="00917170" w:rsidRDefault="00917170" w:rsidP="003F49DF">
      <w:pPr>
        <w:ind w:left="284" w:firstLine="426"/>
        <w:jc w:val="both"/>
        <w:rPr>
          <w:sz w:val="22"/>
          <w:szCs w:val="22"/>
          <w:lang w:val="bg-BG"/>
        </w:rPr>
      </w:pPr>
      <w:r w:rsidRPr="00424817">
        <w:rPr>
          <w:sz w:val="22"/>
          <w:szCs w:val="22"/>
          <w:lang w:val="bg-BG"/>
        </w:rPr>
        <w:t xml:space="preserve">В цитираното приложение ясно са описани всички строително-монтажни и довършителни работи, в съответствие с уговореното в сключените договори за наем на </w:t>
      </w:r>
      <w:r w:rsidRPr="00424817">
        <w:rPr>
          <w:sz w:val="22"/>
          <w:szCs w:val="22"/>
          <w:lang w:val="bg-BG"/>
        </w:rPr>
        <w:lastRenderedPageBreak/>
        <w:t>обекти от офис сградата, предмет на придобивната сделка от страна на АДСИЦ, така че наетите обекти да бъдат приети от наемателите, съгласно договорите за наем. Също така, в цитираното приложение, Емитентът е поел ангажимент, приключването на оставащите довършителни работи в сградата да бъде извършено изцяло за сметка на продавача на имота - „Офис А“ ООД. Съгласно постигнатите договорености, сключеният предварителен договор за покупко-продажба на описания имот, не следва да съдържа клауза за прекратяване на действието си, със сключването на окончателния договор под формата на нотариален акт за покупко-продажба на Имотите.</w:t>
      </w:r>
      <w:bookmarkEnd w:id="0"/>
    </w:p>
    <w:p w14:paraId="37179886" w14:textId="77777777" w:rsidR="00296E8C" w:rsidRPr="00424817" w:rsidRDefault="00296E8C" w:rsidP="005D0BA3">
      <w:pPr>
        <w:ind w:left="284"/>
        <w:jc w:val="both"/>
        <w:rPr>
          <w:sz w:val="22"/>
          <w:szCs w:val="22"/>
          <w:lang w:val="bg-BG"/>
        </w:rPr>
      </w:pPr>
    </w:p>
    <w:p w14:paraId="6058EF2A" w14:textId="77777777" w:rsidR="00917170" w:rsidRPr="00424817" w:rsidRDefault="00917170" w:rsidP="00A94AFC">
      <w:pPr>
        <w:pStyle w:val="ListParagraph"/>
        <w:numPr>
          <w:ilvl w:val="2"/>
          <w:numId w:val="2"/>
        </w:numPr>
        <w:ind w:left="0" w:firstLine="851"/>
        <w:jc w:val="both"/>
        <w:rPr>
          <w:sz w:val="22"/>
          <w:szCs w:val="22"/>
          <w:lang w:val="bg-BG"/>
        </w:rPr>
      </w:pPr>
      <w:r w:rsidRPr="00424817">
        <w:rPr>
          <w:b/>
          <w:bCs/>
          <w:caps/>
          <w:sz w:val="22"/>
          <w:szCs w:val="22"/>
          <w:lang w:val="bg-BG"/>
        </w:rPr>
        <w:t>Залог по ЗОЗ върху всички настоящи и бъдещи вземания на Емитента, произтичащи от договори за наем на обекти от офис сградата</w:t>
      </w:r>
      <w:r w:rsidRPr="00424817">
        <w:rPr>
          <w:sz w:val="22"/>
          <w:szCs w:val="22"/>
          <w:lang w:val="bg-BG"/>
        </w:rPr>
        <w:t>:</w:t>
      </w:r>
    </w:p>
    <w:p w14:paraId="4EDC068F" w14:textId="77777777" w:rsidR="00917170" w:rsidRPr="00424817" w:rsidRDefault="00917170" w:rsidP="00A94AFC">
      <w:pPr>
        <w:pStyle w:val="ListParagraph"/>
        <w:ind w:left="0" w:firstLine="851"/>
        <w:jc w:val="both"/>
        <w:rPr>
          <w:b/>
          <w:bCs/>
          <w:caps/>
          <w:sz w:val="22"/>
          <w:szCs w:val="22"/>
          <w:lang w:val="bg-BG"/>
        </w:rPr>
      </w:pPr>
    </w:p>
    <w:p w14:paraId="6171A266" w14:textId="0AB1D9FE" w:rsidR="00917170" w:rsidRPr="00424817" w:rsidRDefault="00917170" w:rsidP="00424817">
      <w:pPr>
        <w:ind w:firstLine="851"/>
        <w:jc w:val="both"/>
        <w:rPr>
          <w:sz w:val="22"/>
          <w:szCs w:val="22"/>
          <w:lang w:val="bg-BG"/>
        </w:rPr>
      </w:pPr>
      <w:r w:rsidRPr="00424817">
        <w:rPr>
          <w:caps/>
          <w:sz w:val="22"/>
          <w:szCs w:val="22"/>
          <w:lang w:val="bg-BG"/>
        </w:rPr>
        <w:t>ОПИСАНИЕ НА ОБЕЗПЕЧЕНИЕТО</w:t>
      </w:r>
      <w:r w:rsidRPr="00424817">
        <w:rPr>
          <w:sz w:val="22"/>
          <w:szCs w:val="22"/>
          <w:lang w:val="bg-BG"/>
        </w:rPr>
        <w:t>: Първи по ред залог, по реда на закона за особените залози (ЗОЗ) върху всички настоящи и бъдещи вземания на емитента, произтичащи от всички договори за наем на обекти от офис сградата, находяща се в УПИ VI-537,1523, кв. 8, НЗП Изток, м. Къро, р-н Младост, гр. София, придобита с част от средствата предоставени по емисията на обща стойност на заложените вземания не по-малко от 5 500 000 (пет милиона и петстотин хиляди) лв. По силата на договора залогодателят – Браво Пропърти Фонд“ АДСИЦ се задължава на всеки 12 месеца от датата на емитиране на облигационния заем по емисията и/или при сключване на нови договори за наем, да актуализира настоящите и бъдещи вземания и да извършва индивидуализация на залога, чрез сключване на допълнителни споразумения към този договор за залог и съответно отбелязване в ЦРОЗ, по отношение на всички сключени и сключвани от него договори за наем и промените по тях, като се подписват опис-приложения  на всички новосключени /променени договори за наем в офис сградата, чрез посочването им по номер и дата на сключване, наемател и размер на вземанията за целия период на наема.</w:t>
      </w:r>
    </w:p>
    <w:p w14:paraId="438282AE" w14:textId="77777777" w:rsidR="00917170" w:rsidRPr="00424817" w:rsidRDefault="00917170" w:rsidP="00C77A3D">
      <w:pPr>
        <w:pStyle w:val="ListParagraph"/>
        <w:ind w:left="1800"/>
        <w:jc w:val="both"/>
        <w:rPr>
          <w:b/>
          <w:bCs/>
          <w:caps/>
          <w:sz w:val="22"/>
          <w:szCs w:val="22"/>
          <w:lang w:val="bg-BG"/>
        </w:rPr>
      </w:pPr>
    </w:p>
    <w:p w14:paraId="00DC36F0" w14:textId="77777777" w:rsidR="00917170" w:rsidRPr="00424817" w:rsidRDefault="00917170" w:rsidP="005D0BA3">
      <w:pPr>
        <w:ind w:left="284"/>
        <w:jc w:val="both"/>
        <w:rPr>
          <w:sz w:val="22"/>
          <w:szCs w:val="22"/>
          <w:lang w:val="bg-BG"/>
        </w:rPr>
      </w:pPr>
      <w:bookmarkStart w:id="1" w:name="_Hlk14163399"/>
    </w:p>
    <w:bookmarkEnd w:id="1"/>
    <w:p w14:paraId="1B3453FB" w14:textId="77777777" w:rsidR="00917170" w:rsidRPr="00424817" w:rsidRDefault="00917170" w:rsidP="00464A47">
      <w:pPr>
        <w:pStyle w:val="ListParagraph"/>
        <w:numPr>
          <w:ilvl w:val="2"/>
          <w:numId w:val="2"/>
        </w:numPr>
        <w:ind w:left="0" w:firstLine="851"/>
        <w:jc w:val="both"/>
        <w:rPr>
          <w:sz w:val="22"/>
          <w:szCs w:val="22"/>
          <w:lang w:val="bg-BG"/>
        </w:rPr>
      </w:pPr>
      <w:r w:rsidRPr="00424817">
        <w:rPr>
          <w:b/>
          <w:bCs/>
          <w:caps/>
          <w:sz w:val="22"/>
          <w:szCs w:val="22"/>
          <w:lang w:val="bg-BG"/>
        </w:rPr>
        <w:t>Залог по реда на ЗОЗ по отношение на вземанията на Емитента за сумите, налични по сметките на Емитента, които се ползват за постъпления от Имотите, частично финансирани с Емисията, открити при банката Депозитар, включително по Резервната сметка</w:t>
      </w:r>
      <w:r w:rsidRPr="00424817">
        <w:rPr>
          <w:sz w:val="22"/>
          <w:szCs w:val="22"/>
          <w:lang w:val="bg-BG"/>
        </w:rPr>
        <w:t>.</w:t>
      </w:r>
    </w:p>
    <w:p w14:paraId="41867FE7" w14:textId="77777777" w:rsidR="00917170" w:rsidRPr="00424817" w:rsidRDefault="00917170" w:rsidP="00464A47">
      <w:pPr>
        <w:ind w:left="708"/>
        <w:jc w:val="both"/>
        <w:rPr>
          <w:sz w:val="22"/>
          <w:szCs w:val="22"/>
          <w:lang w:val="bg-BG"/>
        </w:rPr>
      </w:pPr>
    </w:p>
    <w:p w14:paraId="5FE59D57" w14:textId="77777777" w:rsidR="00917170" w:rsidRPr="00424817" w:rsidRDefault="00917170" w:rsidP="00C03677">
      <w:pPr>
        <w:ind w:firstLine="708"/>
        <w:jc w:val="both"/>
        <w:rPr>
          <w:sz w:val="22"/>
          <w:szCs w:val="22"/>
          <w:lang w:val="bg-BG"/>
        </w:rPr>
      </w:pPr>
      <w:r w:rsidRPr="00424817">
        <w:rPr>
          <w:sz w:val="22"/>
          <w:szCs w:val="22"/>
          <w:lang w:val="bg-BG"/>
        </w:rPr>
        <w:t>ОПИСАНИЕ НА ОБЕЗПЕЧЕНИЕТО: Първи по ред залог, по реда на Закона за особените залози (ЗОЗ) по отношение на вземанията на Емитента за сумите, налични по сметките на Емитента, които се ползват за постъпления от Имотите, частично финансирани с Емисията, открити при банката Депозитар, включително по Резервната сметка, като салдото по Резервната сметка ще намалява с всяко погасяване на част от главницата съгласно погасителния план.</w:t>
      </w:r>
    </w:p>
    <w:p w14:paraId="06D201A7" w14:textId="77777777" w:rsidR="00917170" w:rsidRPr="00424817" w:rsidRDefault="00917170" w:rsidP="001C15B8">
      <w:pPr>
        <w:ind w:left="284"/>
        <w:jc w:val="both"/>
        <w:rPr>
          <w:sz w:val="22"/>
          <w:szCs w:val="22"/>
          <w:lang w:val="bg-BG"/>
        </w:rPr>
      </w:pPr>
    </w:p>
    <w:p w14:paraId="41961E7D" w14:textId="77777777" w:rsidR="00917170" w:rsidRPr="00424817" w:rsidRDefault="00917170" w:rsidP="00464A47">
      <w:pPr>
        <w:pStyle w:val="ListParagraph"/>
        <w:numPr>
          <w:ilvl w:val="1"/>
          <w:numId w:val="2"/>
        </w:numPr>
        <w:jc w:val="both"/>
        <w:rPr>
          <w:b/>
          <w:bCs/>
          <w:caps/>
          <w:sz w:val="22"/>
          <w:szCs w:val="22"/>
          <w:lang w:val="bg-BG"/>
        </w:rPr>
      </w:pPr>
      <w:bookmarkStart w:id="2" w:name="_Hlk14163440"/>
      <w:r w:rsidRPr="00424817">
        <w:rPr>
          <w:b/>
          <w:bCs/>
          <w:caps/>
          <w:sz w:val="22"/>
          <w:szCs w:val="22"/>
          <w:lang w:val="bg-BG"/>
        </w:rPr>
        <w:t>Информация относно заличаване на съществуващи тежести върху обезпечението, вкл. търговското предприятие</w:t>
      </w:r>
      <w:bookmarkEnd w:id="2"/>
    </w:p>
    <w:p w14:paraId="371C6B71" w14:textId="77777777" w:rsidR="00917170" w:rsidRPr="00424817" w:rsidRDefault="00917170" w:rsidP="00C03677">
      <w:pPr>
        <w:ind w:firstLine="708"/>
        <w:jc w:val="both"/>
        <w:rPr>
          <w:sz w:val="22"/>
          <w:szCs w:val="22"/>
          <w:lang w:val="bg-BG"/>
        </w:rPr>
      </w:pPr>
    </w:p>
    <w:p w14:paraId="58529335" w14:textId="4920E615" w:rsidR="00917170" w:rsidRPr="00424817" w:rsidRDefault="00917170" w:rsidP="00C03677">
      <w:pPr>
        <w:ind w:firstLine="708"/>
        <w:jc w:val="both"/>
        <w:rPr>
          <w:sz w:val="22"/>
          <w:szCs w:val="22"/>
          <w:lang w:val="bg-BG"/>
        </w:rPr>
      </w:pPr>
      <w:r w:rsidRPr="00424817">
        <w:rPr>
          <w:sz w:val="22"/>
          <w:szCs w:val="22"/>
          <w:lang w:val="bg-BG"/>
        </w:rPr>
        <w:t>Към 3</w:t>
      </w:r>
      <w:r w:rsidR="00470718">
        <w:rPr>
          <w:sz w:val="22"/>
          <w:szCs w:val="22"/>
          <w:lang w:val="bg-BG"/>
        </w:rPr>
        <w:t>0</w:t>
      </w:r>
      <w:r w:rsidRPr="00424817">
        <w:rPr>
          <w:sz w:val="22"/>
          <w:szCs w:val="22"/>
          <w:lang w:val="bg-BG"/>
        </w:rPr>
        <w:t>.</w:t>
      </w:r>
      <w:r w:rsidR="001571B4" w:rsidRPr="00D1219E">
        <w:rPr>
          <w:sz w:val="22"/>
          <w:szCs w:val="22"/>
          <w:lang w:val="bg-BG"/>
        </w:rPr>
        <w:t>0</w:t>
      </w:r>
      <w:r w:rsidR="00470718">
        <w:rPr>
          <w:sz w:val="22"/>
          <w:szCs w:val="22"/>
          <w:lang w:val="bg-BG"/>
        </w:rPr>
        <w:t>6</w:t>
      </w:r>
      <w:r w:rsidRPr="00424817">
        <w:rPr>
          <w:sz w:val="22"/>
          <w:szCs w:val="22"/>
          <w:lang w:val="bg-BG"/>
        </w:rPr>
        <w:t>.20</w:t>
      </w:r>
      <w:r w:rsidR="00EF058F" w:rsidRPr="00424817">
        <w:rPr>
          <w:sz w:val="22"/>
          <w:szCs w:val="22"/>
          <w:lang w:val="bg-BG"/>
        </w:rPr>
        <w:t>2</w:t>
      </w:r>
      <w:r w:rsidR="001571B4" w:rsidRPr="00D1219E">
        <w:rPr>
          <w:sz w:val="22"/>
          <w:szCs w:val="22"/>
          <w:lang w:val="bg-BG"/>
        </w:rPr>
        <w:t>1</w:t>
      </w:r>
      <w:r w:rsidRPr="00424817">
        <w:rPr>
          <w:sz w:val="22"/>
          <w:szCs w:val="22"/>
          <w:lang w:val="bg-BG"/>
        </w:rPr>
        <w:t xml:space="preserve"> г. не е налице заличаване на съществуващи тежести върху обезпечението, включително търговското предприятие на емитента. </w:t>
      </w:r>
    </w:p>
    <w:p w14:paraId="07DF8912" w14:textId="77777777" w:rsidR="00917170" w:rsidRPr="00424817" w:rsidRDefault="00917170" w:rsidP="00C03677">
      <w:pPr>
        <w:ind w:firstLine="708"/>
        <w:jc w:val="both"/>
        <w:rPr>
          <w:sz w:val="22"/>
          <w:szCs w:val="22"/>
          <w:lang w:val="bg-BG"/>
        </w:rPr>
      </w:pPr>
    </w:p>
    <w:p w14:paraId="259A2B2B" w14:textId="77777777" w:rsidR="00917170" w:rsidRPr="00424817" w:rsidRDefault="00917170" w:rsidP="00190247">
      <w:pPr>
        <w:ind w:left="720"/>
        <w:jc w:val="both"/>
        <w:rPr>
          <w:sz w:val="22"/>
          <w:szCs w:val="22"/>
          <w:lang w:val="bg-BG"/>
        </w:rPr>
      </w:pPr>
    </w:p>
    <w:p w14:paraId="2676C9DE" w14:textId="77777777" w:rsidR="00917170" w:rsidRPr="00424817" w:rsidRDefault="00917170" w:rsidP="00464A47">
      <w:pPr>
        <w:pStyle w:val="ListParagraph"/>
        <w:numPr>
          <w:ilvl w:val="1"/>
          <w:numId w:val="2"/>
        </w:numPr>
        <w:jc w:val="both"/>
        <w:rPr>
          <w:b/>
          <w:bCs/>
          <w:caps/>
          <w:sz w:val="22"/>
          <w:szCs w:val="22"/>
          <w:lang w:val="bg-BG"/>
        </w:rPr>
      </w:pPr>
      <w:r w:rsidRPr="00424817">
        <w:rPr>
          <w:b/>
          <w:bCs/>
          <w:caps/>
          <w:sz w:val="22"/>
          <w:szCs w:val="22"/>
          <w:lang w:val="bg-BG"/>
        </w:rPr>
        <w:t>Информация относно актуална периодична/извънредна  оценка на обезпечението.</w:t>
      </w:r>
    </w:p>
    <w:p w14:paraId="50B2B2DF" w14:textId="77777777" w:rsidR="00614EEC" w:rsidRPr="00424817" w:rsidRDefault="00614EEC" w:rsidP="00464A47">
      <w:pPr>
        <w:pStyle w:val="ListParagraph"/>
        <w:ind w:left="0" w:firstLine="851"/>
        <w:jc w:val="both"/>
        <w:rPr>
          <w:caps/>
          <w:sz w:val="22"/>
          <w:szCs w:val="22"/>
          <w:lang w:val="bg-BG"/>
        </w:rPr>
      </w:pPr>
    </w:p>
    <w:p w14:paraId="362B1ACC" w14:textId="6F3337FE" w:rsidR="00917170" w:rsidRPr="00424817" w:rsidRDefault="00917170" w:rsidP="00464A47">
      <w:pPr>
        <w:pStyle w:val="ListParagraph"/>
        <w:ind w:left="0" w:firstLine="851"/>
        <w:jc w:val="both"/>
        <w:rPr>
          <w:sz w:val="22"/>
          <w:szCs w:val="22"/>
          <w:lang w:val="bg-BG"/>
        </w:rPr>
      </w:pPr>
      <w:r w:rsidRPr="00424817">
        <w:rPr>
          <w:caps/>
          <w:sz w:val="22"/>
          <w:szCs w:val="22"/>
          <w:lang w:val="bg-BG"/>
        </w:rPr>
        <w:t>С</w:t>
      </w:r>
      <w:r w:rsidRPr="00424817">
        <w:rPr>
          <w:sz w:val="22"/>
          <w:szCs w:val="22"/>
          <w:lang w:val="bg-BG"/>
        </w:rPr>
        <w:t>ъгласно чл. 2 т. 11 от Договора за изпълнение на функцията „Довереник на облигационерите“,</w:t>
      </w:r>
      <w:r w:rsidR="00AC163F">
        <w:rPr>
          <w:sz w:val="22"/>
          <w:szCs w:val="22"/>
          <w:lang w:val="bg-BG"/>
        </w:rPr>
        <w:t xml:space="preserve"> </w:t>
      </w:r>
      <w:r w:rsidRPr="00424817">
        <w:rPr>
          <w:sz w:val="22"/>
          <w:szCs w:val="22"/>
          <w:lang w:val="bg-BG"/>
        </w:rPr>
        <w:t xml:space="preserve">емитентът е поел ангажимент при учредяване и подновяване на обезпеченията, както и най-малко веднъж годишно и при поискване от страна на довереника и </w:t>
      </w:r>
      <w:r w:rsidRPr="00424817">
        <w:rPr>
          <w:sz w:val="22"/>
          <w:szCs w:val="22"/>
          <w:lang w:val="bg-BG"/>
        </w:rPr>
        <w:lastRenderedPageBreak/>
        <w:t xml:space="preserve">изцяло за своя сметка, да представя актуални пазарни оценки на имотите, предоставени като обезпечение за погасяване на задълженията по облигационната емисия. Съгласно изречение второ, за актуални се считат оценките, направени през предходните 6 месеца. </w:t>
      </w:r>
    </w:p>
    <w:p w14:paraId="2EAFD316" w14:textId="410A702F" w:rsidR="00917170" w:rsidRPr="00424817" w:rsidRDefault="00917170" w:rsidP="00464A47">
      <w:pPr>
        <w:pStyle w:val="ListParagraph"/>
        <w:ind w:left="0" w:firstLine="851"/>
        <w:jc w:val="both"/>
        <w:rPr>
          <w:sz w:val="22"/>
          <w:szCs w:val="22"/>
          <w:lang w:val="bg-BG"/>
        </w:rPr>
      </w:pPr>
      <w:r w:rsidRPr="001C07E2">
        <w:rPr>
          <w:sz w:val="22"/>
          <w:szCs w:val="22"/>
          <w:lang w:val="bg-BG"/>
        </w:rPr>
        <w:t xml:space="preserve">За отчетния период е налице извършена оценка </w:t>
      </w:r>
      <w:r w:rsidR="008300E2" w:rsidRPr="001C07E2">
        <w:rPr>
          <w:sz w:val="22"/>
          <w:szCs w:val="22"/>
          <w:lang w:val="bg-BG"/>
        </w:rPr>
        <w:t>към 3</w:t>
      </w:r>
      <w:r w:rsidR="001C07E2" w:rsidRPr="00D1219E">
        <w:rPr>
          <w:sz w:val="22"/>
          <w:szCs w:val="22"/>
          <w:lang w:val="bg-BG"/>
        </w:rPr>
        <w:t>0</w:t>
      </w:r>
      <w:r w:rsidR="008300E2" w:rsidRPr="001C07E2">
        <w:rPr>
          <w:sz w:val="22"/>
          <w:szCs w:val="22"/>
          <w:lang w:val="bg-BG"/>
        </w:rPr>
        <w:t>.</w:t>
      </w:r>
      <w:r w:rsidR="001C07E2" w:rsidRPr="00D1219E">
        <w:rPr>
          <w:sz w:val="22"/>
          <w:szCs w:val="22"/>
          <w:lang w:val="bg-BG"/>
        </w:rPr>
        <w:t>06</w:t>
      </w:r>
      <w:r w:rsidR="008300E2" w:rsidRPr="001C07E2">
        <w:rPr>
          <w:sz w:val="22"/>
          <w:szCs w:val="22"/>
          <w:lang w:val="bg-BG"/>
        </w:rPr>
        <w:t>.</w:t>
      </w:r>
      <w:r w:rsidRPr="001C07E2">
        <w:rPr>
          <w:sz w:val="22"/>
          <w:szCs w:val="22"/>
          <w:lang w:val="bg-BG"/>
        </w:rPr>
        <w:t>20</w:t>
      </w:r>
      <w:r w:rsidR="00670E9D" w:rsidRPr="001C07E2">
        <w:rPr>
          <w:sz w:val="22"/>
          <w:szCs w:val="22"/>
          <w:lang w:val="bg-BG"/>
        </w:rPr>
        <w:t>2</w:t>
      </w:r>
      <w:r w:rsidR="001C07E2" w:rsidRPr="00D1219E">
        <w:rPr>
          <w:sz w:val="22"/>
          <w:szCs w:val="22"/>
          <w:lang w:val="bg-BG"/>
        </w:rPr>
        <w:t>1</w:t>
      </w:r>
      <w:r w:rsidRPr="001C07E2">
        <w:rPr>
          <w:sz w:val="22"/>
          <w:szCs w:val="22"/>
          <w:lang w:val="bg-BG"/>
        </w:rPr>
        <w:t xml:space="preserve"> г.,</w:t>
      </w:r>
      <w:r w:rsidR="006949B0" w:rsidRPr="001C07E2">
        <w:rPr>
          <w:sz w:val="22"/>
          <w:szCs w:val="22"/>
          <w:lang w:val="bg-BG"/>
        </w:rPr>
        <w:t xml:space="preserve"> валидна към датата на настоящия отчет,</w:t>
      </w:r>
      <w:r w:rsidRPr="001C07E2">
        <w:rPr>
          <w:sz w:val="22"/>
          <w:szCs w:val="22"/>
          <w:lang w:val="bg-BG"/>
        </w:rPr>
        <w:t xml:space="preserve"> изготвена от „Консултантска Къща Амрита“ ООД, съгласно утвърдения списък с оценители, неразделна част от Предложението за записване на облигации. Определената от </w:t>
      </w:r>
      <w:r w:rsidR="001C07E2">
        <w:rPr>
          <w:sz w:val="22"/>
          <w:szCs w:val="22"/>
          <w:lang w:val="bg-BG"/>
        </w:rPr>
        <w:t>„</w:t>
      </w:r>
      <w:r w:rsidRPr="001C07E2">
        <w:rPr>
          <w:sz w:val="22"/>
          <w:szCs w:val="22"/>
          <w:lang w:val="bg-BG"/>
        </w:rPr>
        <w:t>Консултантска Къща Амрита</w:t>
      </w:r>
      <w:r w:rsidR="001C07E2">
        <w:rPr>
          <w:sz w:val="22"/>
          <w:szCs w:val="22"/>
          <w:lang w:val="bg-BG"/>
        </w:rPr>
        <w:t>“</w:t>
      </w:r>
      <w:r w:rsidRPr="001C07E2">
        <w:rPr>
          <w:sz w:val="22"/>
          <w:szCs w:val="22"/>
          <w:lang w:val="bg-BG"/>
        </w:rPr>
        <w:t xml:space="preserve"> ООД стойност</w:t>
      </w:r>
      <w:r w:rsidR="008300E2" w:rsidRPr="001C07E2">
        <w:rPr>
          <w:sz w:val="22"/>
          <w:szCs w:val="22"/>
          <w:lang w:val="bg-BG"/>
        </w:rPr>
        <w:t xml:space="preserve"> на имота, предоставен като обезпечение по облигационната емисия, издадена от „Браво Пропърти Фонд“ АДСИЦ </w:t>
      </w:r>
      <w:r w:rsidRPr="001C07E2">
        <w:rPr>
          <w:sz w:val="22"/>
          <w:szCs w:val="22"/>
          <w:lang w:val="bg-BG"/>
        </w:rPr>
        <w:t xml:space="preserve">е </w:t>
      </w:r>
      <w:r w:rsidR="001C07E2">
        <w:rPr>
          <w:sz w:val="22"/>
          <w:szCs w:val="22"/>
          <w:lang w:val="bg-BG"/>
        </w:rPr>
        <w:t>60 402 000</w:t>
      </w:r>
      <w:r w:rsidRPr="001C07E2">
        <w:rPr>
          <w:sz w:val="22"/>
          <w:szCs w:val="22"/>
          <w:lang w:val="bg-BG"/>
        </w:rPr>
        <w:t xml:space="preserve"> лева</w:t>
      </w:r>
      <w:r w:rsidR="008300E2" w:rsidRPr="001C07E2">
        <w:rPr>
          <w:sz w:val="22"/>
          <w:szCs w:val="22"/>
          <w:lang w:val="bg-BG"/>
        </w:rPr>
        <w:t xml:space="preserve"> (шестдесет милиона </w:t>
      </w:r>
      <w:r w:rsidR="001C07E2">
        <w:rPr>
          <w:sz w:val="22"/>
          <w:szCs w:val="22"/>
          <w:lang w:val="bg-BG"/>
        </w:rPr>
        <w:t>четиристотин и два хиляди лева</w:t>
      </w:r>
      <w:r w:rsidR="008300E2" w:rsidRPr="001C07E2">
        <w:rPr>
          <w:sz w:val="22"/>
          <w:szCs w:val="22"/>
          <w:lang w:val="bg-BG"/>
        </w:rPr>
        <w:t>)</w:t>
      </w:r>
      <w:r w:rsidRPr="001C07E2">
        <w:rPr>
          <w:sz w:val="22"/>
          <w:szCs w:val="22"/>
          <w:lang w:val="bg-BG"/>
        </w:rPr>
        <w:t>.</w:t>
      </w:r>
    </w:p>
    <w:p w14:paraId="2A41B7B4" w14:textId="77777777" w:rsidR="00917170" w:rsidRPr="00424817" w:rsidRDefault="00917170" w:rsidP="00464A47">
      <w:pPr>
        <w:pStyle w:val="ListParagraph"/>
        <w:ind w:left="0" w:firstLine="851"/>
        <w:jc w:val="both"/>
        <w:rPr>
          <w:sz w:val="22"/>
          <w:szCs w:val="22"/>
          <w:lang w:val="bg-BG"/>
        </w:rPr>
      </w:pPr>
    </w:p>
    <w:p w14:paraId="1A11FBF3" w14:textId="77777777" w:rsidR="00917170" w:rsidRPr="00424817" w:rsidRDefault="00917170" w:rsidP="005D0BA3">
      <w:pPr>
        <w:pStyle w:val="ListParagraph"/>
        <w:ind w:left="0"/>
        <w:jc w:val="both"/>
        <w:rPr>
          <w:sz w:val="22"/>
          <w:szCs w:val="22"/>
          <w:lang w:val="bg-BG"/>
        </w:rPr>
      </w:pPr>
    </w:p>
    <w:p w14:paraId="3EFB4A95" w14:textId="77777777" w:rsidR="00917170" w:rsidRPr="00424817" w:rsidRDefault="00917170" w:rsidP="001C15B8">
      <w:pPr>
        <w:pStyle w:val="ListParagraph"/>
        <w:numPr>
          <w:ilvl w:val="1"/>
          <w:numId w:val="8"/>
        </w:numPr>
        <w:ind w:left="0" w:hanging="357"/>
        <w:jc w:val="both"/>
        <w:rPr>
          <w:b/>
          <w:bCs/>
          <w:caps/>
          <w:sz w:val="22"/>
          <w:szCs w:val="22"/>
          <w:lang w:val="bg-BG"/>
        </w:rPr>
      </w:pPr>
      <w:r w:rsidRPr="00424817">
        <w:rPr>
          <w:b/>
          <w:bCs/>
          <w:caps/>
          <w:sz w:val="22"/>
          <w:szCs w:val="22"/>
          <w:lang w:val="bg-BG"/>
        </w:rPr>
        <w:t>Стойност на недвижимите имоти, предмет на обезпечението и паричните средства по Резервната сметка:</w:t>
      </w:r>
    </w:p>
    <w:p w14:paraId="4968FD89" w14:textId="77777777" w:rsidR="00917170" w:rsidRPr="00424817" w:rsidRDefault="00917170" w:rsidP="00C6386D">
      <w:pPr>
        <w:pStyle w:val="ListParagraph"/>
        <w:ind w:left="0"/>
        <w:jc w:val="both"/>
        <w:rPr>
          <w:b/>
          <w:bCs/>
          <w:caps/>
          <w:sz w:val="22"/>
          <w:szCs w:val="22"/>
          <w:lang w:val="bg-BG"/>
        </w:rPr>
      </w:pPr>
    </w:p>
    <w:p w14:paraId="5BD34E94" w14:textId="4A52CB72" w:rsidR="00917170" w:rsidRPr="00424817" w:rsidRDefault="001C07E2" w:rsidP="00C6386D">
      <w:pPr>
        <w:pStyle w:val="ListParagraph"/>
        <w:ind w:left="0"/>
        <w:jc w:val="both"/>
        <w:rPr>
          <w:caps/>
          <w:sz w:val="22"/>
          <w:szCs w:val="22"/>
          <w:lang w:val="bg-BG"/>
        </w:rPr>
      </w:pPr>
      <w:r>
        <w:rPr>
          <w:sz w:val="22"/>
          <w:szCs w:val="22"/>
          <w:lang w:val="bg-BG"/>
        </w:rPr>
        <w:t>К</w:t>
      </w:r>
      <w:r w:rsidR="00917170" w:rsidRPr="001C07E2">
        <w:rPr>
          <w:sz w:val="22"/>
          <w:szCs w:val="22"/>
          <w:lang w:val="bg-BG"/>
        </w:rPr>
        <w:t>ъм</w:t>
      </w:r>
      <w:r w:rsidR="00917170" w:rsidRPr="001C07E2">
        <w:rPr>
          <w:caps/>
          <w:sz w:val="22"/>
          <w:szCs w:val="22"/>
          <w:lang w:val="bg-BG"/>
        </w:rPr>
        <w:t xml:space="preserve"> </w:t>
      </w:r>
      <w:r w:rsidR="00105F32" w:rsidRPr="001C07E2">
        <w:rPr>
          <w:caps/>
          <w:sz w:val="22"/>
          <w:szCs w:val="22"/>
          <w:lang w:val="bg-BG"/>
        </w:rPr>
        <w:t>3</w:t>
      </w:r>
      <w:r>
        <w:rPr>
          <w:caps/>
          <w:sz w:val="22"/>
          <w:szCs w:val="22"/>
          <w:lang w:val="bg-BG"/>
        </w:rPr>
        <w:t>0</w:t>
      </w:r>
      <w:r w:rsidR="00105F32" w:rsidRPr="001C07E2">
        <w:rPr>
          <w:caps/>
          <w:sz w:val="22"/>
          <w:szCs w:val="22"/>
          <w:lang w:val="bg-BG"/>
        </w:rPr>
        <w:t>.</w:t>
      </w:r>
      <w:r>
        <w:rPr>
          <w:caps/>
          <w:sz w:val="22"/>
          <w:szCs w:val="22"/>
          <w:lang w:val="bg-BG"/>
        </w:rPr>
        <w:t>06</w:t>
      </w:r>
      <w:r w:rsidR="00105F32" w:rsidRPr="001C07E2">
        <w:rPr>
          <w:caps/>
          <w:sz w:val="22"/>
          <w:szCs w:val="22"/>
          <w:lang w:val="bg-BG"/>
        </w:rPr>
        <w:t>.202</w:t>
      </w:r>
      <w:r>
        <w:rPr>
          <w:caps/>
          <w:sz w:val="22"/>
          <w:szCs w:val="22"/>
          <w:lang w:val="bg-BG"/>
        </w:rPr>
        <w:t>1</w:t>
      </w:r>
      <w:r w:rsidR="00917170" w:rsidRPr="001C07E2">
        <w:rPr>
          <w:caps/>
          <w:sz w:val="22"/>
          <w:szCs w:val="22"/>
          <w:lang w:val="bg-BG"/>
        </w:rPr>
        <w:t xml:space="preserve"> </w:t>
      </w:r>
      <w:r w:rsidR="00917170" w:rsidRPr="001C07E2">
        <w:rPr>
          <w:sz w:val="22"/>
          <w:szCs w:val="22"/>
          <w:lang w:val="bg-BG"/>
        </w:rPr>
        <w:t>г.</w:t>
      </w:r>
      <w:r>
        <w:rPr>
          <w:sz w:val="22"/>
          <w:szCs w:val="22"/>
          <w:lang w:val="bg-BG"/>
        </w:rPr>
        <w:t xml:space="preserve"> е налице валидна оценка, като </w:t>
      </w:r>
      <w:r w:rsidR="00296E8C" w:rsidRPr="001C07E2">
        <w:rPr>
          <w:sz w:val="22"/>
          <w:szCs w:val="22"/>
          <w:lang w:val="bg-BG"/>
        </w:rPr>
        <w:t xml:space="preserve">в таблицата по-долу е представена стойността на активите, предоставени </w:t>
      </w:r>
      <w:r w:rsidR="00917170" w:rsidRPr="001C07E2">
        <w:rPr>
          <w:sz w:val="22"/>
          <w:szCs w:val="22"/>
          <w:lang w:val="bg-BG"/>
        </w:rPr>
        <w:t xml:space="preserve"> като обезпечение в полза на банката-довереник за покриване на задълженията по издадената облигационна емисия,</w:t>
      </w:r>
      <w:r w:rsidR="00296E8C" w:rsidRPr="001C07E2">
        <w:rPr>
          <w:sz w:val="22"/>
          <w:szCs w:val="22"/>
          <w:lang w:val="bg-BG"/>
        </w:rPr>
        <w:t xml:space="preserve"> както следва:</w:t>
      </w:r>
      <w:r w:rsidR="00917170" w:rsidRPr="00424817">
        <w:rPr>
          <w:sz w:val="22"/>
          <w:szCs w:val="22"/>
          <w:lang w:val="bg-BG"/>
        </w:rPr>
        <w:t xml:space="preserve">     </w:t>
      </w:r>
    </w:p>
    <w:p w14:paraId="547A6D7D" w14:textId="77777777" w:rsidR="00917170" w:rsidRPr="00424817" w:rsidRDefault="00917170" w:rsidP="00190247">
      <w:pPr>
        <w:pStyle w:val="ListParagraph"/>
        <w:jc w:val="both"/>
        <w:rPr>
          <w:sz w:val="22"/>
          <w:szCs w:val="22"/>
          <w:lang w:val="bg-BG"/>
        </w:rPr>
      </w:pPr>
    </w:p>
    <w:tbl>
      <w:tblPr>
        <w:tblW w:w="3468"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91"/>
        <w:gridCol w:w="1951"/>
      </w:tblGrid>
      <w:tr w:rsidR="00917170" w:rsidRPr="00D1219E" w14:paraId="4CB2438E" w14:textId="77777777">
        <w:tc>
          <w:tcPr>
            <w:tcW w:w="3486" w:type="pct"/>
          </w:tcPr>
          <w:p w14:paraId="77C7398F" w14:textId="77777777" w:rsidR="00917170" w:rsidRPr="007B0E1C" w:rsidRDefault="00917170" w:rsidP="00180193">
            <w:pPr>
              <w:pStyle w:val="ListParagraph"/>
              <w:ind w:left="0"/>
              <w:jc w:val="both"/>
              <w:rPr>
                <w:b/>
                <w:bCs/>
                <w:lang w:val="bg-BG"/>
              </w:rPr>
            </w:pPr>
            <w:r w:rsidRPr="007B0E1C">
              <w:rPr>
                <w:b/>
                <w:bCs/>
                <w:sz w:val="22"/>
                <w:szCs w:val="22"/>
                <w:lang w:val="bg-BG"/>
              </w:rPr>
              <w:t>ВИД АКТИВИ ОТ ОБЕЗПЕЧЕНИЕТО</w:t>
            </w:r>
          </w:p>
        </w:tc>
        <w:tc>
          <w:tcPr>
            <w:tcW w:w="1514" w:type="pct"/>
          </w:tcPr>
          <w:p w14:paraId="30F82B65" w14:textId="77777777" w:rsidR="00917170" w:rsidRPr="007B0E1C" w:rsidRDefault="00917170" w:rsidP="00180193">
            <w:pPr>
              <w:pStyle w:val="ListParagraph"/>
              <w:ind w:left="0"/>
              <w:jc w:val="both"/>
              <w:rPr>
                <w:b/>
                <w:bCs/>
                <w:lang w:val="bg-BG"/>
              </w:rPr>
            </w:pPr>
            <w:r w:rsidRPr="007B0E1C">
              <w:rPr>
                <w:b/>
                <w:bCs/>
                <w:sz w:val="22"/>
                <w:szCs w:val="22"/>
                <w:lang w:val="bg-BG"/>
              </w:rPr>
              <w:t>ОЦЕНКА (в лв.)</w:t>
            </w:r>
          </w:p>
          <w:p w14:paraId="3BA592B1" w14:textId="3CA9519D" w:rsidR="00917170" w:rsidRPr="007B0E1C" w:rsidRDefault="00917170" w:rsidP="00180193">
            <w:pPr>
              <w:pStyle w:val="ListParagraph"/>
              <w:ind w:left="0"/>
              <w:jc w:val="both"/>
              <w:rPr>
                <w:b/>
                <w:bCs/>
                <w:lang w:val="bg-BG"/>
              </w:rPr>
            </w:pPr>
            <w:r w:rsidRPr="007B0E1C">
              <w:rPr>
                <w:b/>
                <w:bCs/>
                <w:sz w:val="22"/>
                <w:szCs w:val="22"/>
                <w:lang w:val="bg-BG"/>
              </w:rPr>
              <w:t xml:space="preserve">към </w:t>
            </w:r>
            <w:r w:rsidR="00120305" w:rsidRPr="00D1219E">
              <w:rPr>
                <w:b/>
                <w:bCs/>
                <w:sz w:val="22"/>
                <w:szCs w:val="22"/>
                <w:lang w:val="bg-BG"/>
              </w:rPr>
              <w:t>06</w:t>
            </w:r>
            <w:r w:rsidRPr="007B0E1C">
              <w:rPr>
                <w:b/>
                <w:bCs/>
                <w:sz w:val="22"/>
                <w:szCs w:val="22"/>
                <w:lang w:val="bg-BG"/>
              </w:rPr>
              <w:t>.20</w:t>
            </w:r>
            <w:r w:rsidR="00135C6C" w:rsidRPr="007B0E1C">
              <w:rPr>
                <w:b/>
                <w:bCs/>
                <w:sz w:val="22"/>
                <w:szCs w:val="22"/>
                <w:lang w:val="bg-BG"/>
              </w:rPr>
              <w:t>2</w:t>
            </w:r>
            <w:r w:rsidR="00120305" w:rsidRPr="00D1219E">
              <w:rPr>
                <w:b/>
                <w:bCs/>
                <w:sz w:val="22"/>
                <w:szCs w:val="22"/>
                <w:lang w:val="bg-BG"/>
              </w:rPr>
              <w:t>1</w:t>
            </w:r>
            <w:r w:rsidRPr="007B0E1C">
              <w:rPr>
                <w:b/>
                <w:bCs/>
                <w:sz w:val="22"/>
                <w:szCs w:val="22"/>
                <w:lang w:val="bg-BG"/>
              </w:rPr>
              <w:t xml:space="preserve"> г.</w:t>
            </w:r>
          </w:p>
          <w:p w14:paraId="59F95156" w14:textId="77777777" w:rsidR="00917170" w:rsidRPr="007B0E1C" w:rsidRDefault="00917170" w:rsidP="00180193">
            <w:pPr>
              <w:pStyle w:val="ListParagraph"/>
              <w:ind w:left="0"/>
              <w:jc w:val="both"/>
              <w:rPr>
                <w:b/>
                <w:bCs/>
                <w:lang w:val="bg-BG"/>
              </w:rPr>
            </w:pPr>
          </w:p>
        </w:tc>
      </w:tr>
      <w:tr w:rsidR="00917170" w:rsidRPr="007B0E1C" w14:paraId="7F78062B" w14:textId="77777777">
        <w:tc>
          <w:tcPr>
            <w:tcW w:w="3486" w:type="pct"/>
          </w:tcPr>
          <w:p w14:paraId="6DD68D54" w14:textId="77777777" w:rsidR="00917170" w:rsidRPr="007B0E1C" w:rsidRDefault="00917170" w:rsidP="00180193">
            <w:pPr>
              <w:pStyle w:val="ListParagraph"/>
              <w:ind w:left="0"/>
              <w:jc w:val="both"/>
              <w:rPr>
                <w:lang w:val="bg-BG"/>
              </w:rPr>
            </w:pPr>
            <w:r w:rsidRPr="007B0E1C">
              <w:rPr>
                <w:sz w:val="22"/>
                <w:szCs w:val="22"/>
                <w:lang w:val="bg-BG"/>
              </w:rPr>
              <w:t>ОФИС СГРАДА с подземен паркинг, кафе сладкарница и трафопост</w:t>
            </w:r>
          </w:p>
        </w:tc>
        <w:tc>
          <w:tcPr>
            <w:tcW w:w="1514" w:type="pct"/>
          </w:tcPr>
          <w:p w14:paraId="5AF8BB30" w14:textId="0C437172" w:rsidR="00917170" w:rsidRPr="007B0E1C" w:rsidRDefault="00917170" w:rsidP="00FD20B4">
            <w:pPr>
              <w:pStyle w:val="ListParagraph"/>
              <w:ind w:left="0"/>
              <w:jc w:val="right"/>
              <w:rPr>
                <w:sz w:val="22"/>
                <w:szCs w:val="22"/>
                <w:lang w:val="bg-BG"/>
              </w:rPr>
            </w:pPr>
          </w:p>
          <w:p w14:paraId="2C0379ED" w14:textId="7E8BE3A3" w:rsidR="009201B4" w:rsidRPr="007B0E1C" w:rsidRDefault="007340E9" w:rsidP="00FD20B4">
            <w:pPr>
              <w:pStyle w:val="ListParagraph"/>
              <w:ind w:left="0"/>
              <w:jc w:val="right"/>
              <w:rPr>
                <w:lang w:val="bg-BG"/>
              </w:rPr>
            </w:pPr>
            <w:r>
              <w:rPr>
                <w:lang w:val="bg-BG"/>
              </w:rPr>
              <w:t>54 737 814</w:t>
            </w:r>
          </w:p>
          <w:p w14:paraId="1331FB07" w14:textId="77777777" w:rsidR="00917170" w:rsidRPr="007B0E1C" w:rsidRDefault="00917170" w:rsidP="00FD20B4">
            <w:pPr>
              <w:pStyle w:val="ListParagraph"/>
              <w:ind w:left="0"/>
              <w:jc w:val="right"/>
              <w:rPr>
                <w:lang w:val="bg-BG"/>
              </w:rPr>
            </w:pPr>
          </w:p>
        </w:tc>
      </w:tr>
      <w:tr w:rsidR="00917170" w:rsidRPr="007B0E1C" w14:paraId="3E7F7D39" w14:textId="77777777">
        <w:tc>
          <w:tcPr>
            <w:tcW w:w="3486" w:type="pct"/>
          </w:tcPr>
          <w:p w14:paraId="3A919C87" w14:textId="064CA33E" w:rsidR="00917170" w:rsidRPr="007B0E1C" w:rsidRDefault="00917170" w:rsidP="00180193">
            <w:pPr>
              <w:pStyle w:val="ListParagraph"/>
              <w:ind w:left="0"/>
              <w:jc w:val="both"/>
              <w:rPr>
                <w:lang w:val="bg-BG"/>
              </w:rPr>
            </w:pPr>
            <w:r w:rsidRPr="007B0E1C">
              <w:rPr>
                <w:sz w:val="22"/>
                <w:szCs w:val="22"/>
                <w:lang w:val="bg-BG"/>
              </w:rPr>
              <w:t xml:space="preserve">УПИ </w:t>
            </w:r>
            <w:r w:rsidRPr="007B0E1C">
              <w:rPr>
                <w:sz w:val="22"/>
                <w:szCs w:val="22"/>
                <w:lang w:val="en-US"/>
              </w:rPr>
              <w:t xml:space="preserve"> VI-537, 1523, </w:t>
            </w:r>
            <w:r w:rsidRPr="007B0E1C">
              <w:rPr>
                <w:sz w:val="22"/>
                <w:szCs w:val="22"/>
                <w:lang w:val="bg-BG"/>
              </w:rPr>
              <w:t>кв.</w:t>
            </w:r>
            <w:r w:rsidRPr="007B0E1C">
              <w:rPr>
                <w:sz w:val="22"/>
                <w:szCs w:val="22"/>
                <w:lang w:val="en-US"/>
              </w:rPr>
              <w:t xml:space="preserve">8, </w:t>
            </w:r>
            <w:r w:rsidRPr="007B0E1C">
              <w:rPr>
                <w:sz w:val="22"/>
                <w:szCs w:val="22"/>
                <w:lang w:val="bg-BG"/>
              </w:rPr>
              <w:t>НЗП</w:t>
            </w:r>
            <w:r w:rsidRPr="007B0E1C">
              <w:rPr>
                <w:sz w:val="22"/>
                <w:szCs w:val="22"/>
                <w:lang w:val="en-US"/>
              </w:rPr>
              <w:t xml:space="preserve"> </w:t>
            </w:r>
            <w:r w:rsidRPr="007B0E1C">
              <w:rPr>
                <w:sz w:val="22"/>
                <w:szCs w:val="22"/>
                <w:lang w:val="bg-BG"/>
              </w:rPr>
              <w:t>Изток</w:t>
            </w:r>
            <w:r w:rsidRPr="007B0E1C">
              <w:rPr>
                <w:sz w:val="22"/>
                <w:szCs w:val="22"/>
                <w:lang w:val="en-US"/>
              </w:rPr>
              <w:t xml:space="preserve">, м. </w:t>
            </w:r>
            <w:r w:rsidRPr="007B0E1C">
              <w:rPr>
                <w:sz w:val="22"/>
                <w:szCs w:val="22"/>
                <w:lang w:val="bg-BG"/>
              </w:rPr>
              <w:t>Къро</w:t>
            </w:r>
            <w:r w:rsidRPr="007B0E1C">
              <w:rPr>
                <w:sz w:val="22"/>
                <w:szCs w:val="22"/>
                <w:lang w:val="en-US"/>
              </w:rPr>
              <w:t xml:space="preserve">, </w:t>
            </w:r>
            <w:r w:rsidRPr="007B0E1C">
              <w:rPr>
                <w:sz w:val="22"/>
                <w:szCs w:val="22"/>
                <w:lang w:val="bg-BG"/>
              </w:rPr>
              <w:t>район Младост</w:t>
            </w:r>
            <w:r w:rsidRPr="007B0E1C">
              <w:rPr>
                <w:sz w:val="22"/>
                <w:szCs w:val="22"/>
                <w:lang w:val="en-US"/>
              </w:rPr>
              <w:t xml:space="preserve">, </w:t>
            </w:r>
            <w:proofErr w:type="spellStart"/>
            <w:r w:rsidRPr="007B0E1C">
              <w:rPr>
                <w:sz w:val="22"/>
                <w:szCs w:val="22"/>
                <w:lang w:val="en-US"/>
              </w:rPr>
              <w:t>гр</w:t>
            </w:r>
            <w:proofErr w:type="spellEnd"/>
            <w:r w:rsidRPr="007B0E1C">
              <w:rPr>
                <w:sz w:val="22"/>
                <w:szCs w:val="22"/>
                <w:lang w:val="en-US"/>
              </w:rPr>
              <w:t>.</w:t>
            </w:r>
            <w:r w:rsidRPr="007B0E1C">
              <w:rPr>
                <w:sz w:val="22"/>
                <w:szCs w:val="22"/>
                <w:lang w:val="bg-BG"/>
              </w:rPr>
              <w:t xml:space="preserve"> София идентификатор 68134.4081.537</w:t>
            </w:r>
          </w:p>
        </w:tc>
        <w:tc>
          <w:tcPr>
            <w:tcW w:w="1514" w:type="pct"/>
          </w:tcPr>
          <w:p w14:paraId="7F2EB916" w14:textId="3A942FBA" w:rsidR="00917170" w:rsidRPr="007B0E1C" w:rsidRDefault="009201B4" w:rsidP="00FD20B4">
            <w:pPr>
              <w:pStyle w:val="ListParagraph"/>
              <w:ind w:left="0"/>
              <w:jc w:val="right"/>
              <w:rPr>
                <w:lang w:val="bg-BG"/>
              </w:rPr>
            </w:pPr>
            <w:r w:rsidRPr="007B0E1C">
              <w:rPr>
                <w:sz w:val="22"/>
                <w:szCs w:val="22"/>
                <w:lang w:val="bg-BG"/>
              </w:rPr>
              <w:t xml:space="preserve"> </w:t>
            </w:r>
            <w:r w:rsidR="007340E9">
              <w:rPr>
                <w:sz w:val="22"/>
                <w:szCs w:val="22"/>
                <w:lang w:val="bg-BG"/>
              </w:rPr>
              <w:t>5 664 083</w:t>
            </w:r>
          </w:p>
        </w:tc>
      </w:tr>
      <w:tr w:rsidR="00917170" w:rsidRPr="007B0E1C" w14:paraId="2D900A9D" w14:textId="77777777">
        <w:tc>
          <w:tcPr>
            <w:tcW w:w="3486" w:type="pct"/>
          </w:tcPr>
          <w:p w14:paraId="3BF3D3D7" w14:textId="77777777" w:rsidR="00917170" w:rsidRPr="007B0E1C" w:rsidRDefault="00917170" w:rsidP="00180193">
            <w:pPr>
              <w:pStyle w:val="ListParagraph"/>
              <w:ind w:left="0"/>
              <w:jc w:val="both"/>
              <w:rPr>
                <w:b/>
                <w:bCs/>
                <w:lang w:val="bg-BG"/>
              </w:rPr>
            </w:pPr>
            <w:r w:rsidRPr="007B0E1C">
              <w:rPr>
                <w:b/>
                <w:bCs/>
                <w:sz w:val="22"/>
                <w:szCs w:val="22"/>
                <w:lang w:val="bg-BG"/>
              </w:rPr>
              <w:t>ОБЩА СТОЙНОСТ НА ИМОТИТЕ, ПРЕДМЕТ НА ОБЕЗПЕЧЕНИЕТО</w:t>
            </w:r>
          </w:p>
        </w:tc>
        <w:tc>
          <w:tcPr>
            <w:tcW w:w="1514" w:type="pct"/>
          </w:tcPr>
          <w:p w14:paraId="1412BAAC" w14:textId="7DCF3F7E" w:rsidR="00917170" w:rsidRPr="007B0E1C" w:rsidRDefault="007340E9" w:rsidP="00FD20B4">
            <w:pPr>
              <w:pStyle w:val="ListParagraph"/>
              <w:ind w:left="0"/>
              <w:jc w:val="right"/>
              <w:rPr>
                <w:b/>
                <w:bCs/>
                <w:lang w:val="bg-BG"/>
              </w:rPr>
            </w:pPr>
            <w:r>
              <w:rPr>
                <w:b/>
                <w:bCs/>
                <w:sz w:val="22"/>
                <w:szCs w:val="22"/>
                <w:lang w:val="bg-BG"/>
              </w:rPr>
              <w:t>60 402 000</w:t>
            </w:r>
          </w:p>
        </w:tc>
      </w:tr>
      <w:tr w:rsidR="00917170" w:rsidRPr="007B0E1C" w14:paraId="6BBA03C1" w14:textId="77777777">
        <w:tc>
          <w:tcPr>
            <w:tcW w:w="3486" w:type="pct"/>
          </w:tcPr>
          <w:p w14:paraId="09F3F05F" w14:textId="77777777" w:rsidR="00917170" w:rsidRPr="007B0E1C" w:rsidRDefault="00917170" w:rsidP="00180193">
            <w:pPr>
              <w:pStyle w:val="ListParagraph"/>
              <w:ind w:left="0"/>
              <w:jc w:val="both"/>
              <w:rPr>
                <w:b/>
                <w:bCs/>
                <w:lang w:val="bg-BG"/>
              </w:rPr>
            </w:pPr>
            <w:r w:rsidRPr="007B0E1C">
              <w:rPr>
                <w:b/>
                <w:bCs/>
                <w:sz w:val="22"/>
                <w:szCs w:val="22"/>
                <w:lang w:val="bg-BG"/>
              </w:rPr>
              <w:t>Парични средства по Резервна сметка, предмет на залог – към датата на отчета</w:t>
            </w:r>
          </w:p>
        </w:tc>
        <w:tc>
          <w:tcPr>
            <w:tcW w:w="1514" w:type="pct"/>
          </w:tcPr>
          <w:p w14:paraId="6E591CFD" w14:textId="5BFCCC73" w:rsidR="00917170" w:rsidRPr="007B0E1C" w:rsidRDefault="009324B5" w:rsidP="00FD20B4">
            <w:pPr>
              <w:pStyle w:val="ListParagraph"/>
              <w:ind w:left="0"/>
              <w:jc w:val="right"/>
              <w:rPr>
                <w:lang w:val="bg-BG"/>
              </w:rPr>
            </w:pPr>
            <w:r>
              <w:rPr>
                <w:sz w:val="22"/>
                <w:szCs w:val="22"/>
                <w:lang w:val="bg-BG"/>
              </w:rPr>
              <w:t>2 700 000</w:t>
            </w:r>
          </w:p>
        </w:tc>
      </w:tr>
      <w:tr w:rsidR="00917170" w:rsidRPr="00424817" w14:paraId="1C844425" w14:textId="77777777">
        <w:tc>
          <w:tcPr>
            <w:tcW w:w="3486" w:type="pct"/>
          </w:tcPr>
          <w:p w14:paraId="5A2EE80A" w14:textId="77777777" w:rsidR="00917170" w:rsidRPr="007B0E1C" w:rsidRDefault="00917170" w:rsidP="00180193">
            <w:pPr>
              <w:pStyle w:val="ListParagraph"/>
              <w:ind w:left="0"/>
              <w:jc w:val="both"/>
              <w:rPr>
                <w:b/>
                <w:bCs/>
                <w:lang w:val="bg-BG"/>
              </w:rPr>
            </w:pPr>
            <w:r w:rsidRPr="007B0E1C">
              <w:rPr>
                <w:b/>
                <w:bCs/>
                <w:sz w:val="22"/>
                <w:szCs w:val="22"/>
                <w:lang w:val="bg-BG"/>
              </w:rPr>
              <w:t>ОБЩА СТОЙНОСТ НА ПОКРИТИЕТО</w:t>
            </w:r>
          </w:p>
        </w:tc>
        <w:tc>
          <w:tcPr>
            <w:tcW w:w="1514" w:type="pct"/>
          </w:tcPr>
          <w:p w14:paraId="5488BB3F" w14:textId="042C1028" w:rsidR="00917170" w:rsidRPr="008E3CCC" w:rsidRDefault="009D78B4" w:rsidP="00FD20B4">
            <w:pPr>
              <w:pStyle w:val="ListParagraph"/>
              <w:ind w:left="0"/>
              <w:jc w:val="right"/>
              <w:rPr>
                <w:b/>
                <w:bCs/>
                <w:highlight w:val="yellow"/>
                <w:lang w:val="en-US"/>
              </w:rPr>
            </w:pPr>
            <w:r w:rsidRPr="008E3CCC">
              <w:rPr>
                <w:b/>
                <w:bCs/>
                <w:sz w:val="22"/>
                <w:szCs w:val="22"/>
                <w:lang w:val="bg-BG"/>
              </w:rPr>
              <w:t>6</w:t>
            </w:r>
            <w:r w:rsidR="008E3CCC" w:rsidRPr="008E3CCC">
              <w:rPr>
                <w:b/>
                <w:bCs/>
                <w:sz w:val="22"/>
                <w:szCs w:val="22"/>
                <w:lang w:val="en-US"/>
              </w:rPr>
              <w:t>3</w:t>
            </w:r>
            <w:r w:rsidRPr="008E3CCC">
              <w:rPr>
                <w:b/>
                <w:bCs/>
                <w:sz w:val="22"/>
                <w:szCs w:val="22"/>
                <w:lang w:val="bg-BG"/>
              </w:rPr>
              <w:t xml:space="preserve"> </w:t>
            </w:r>
            <w:r w:rsidR="008E3CCC" w:rsidRPr="008E3CCC">
              <w:rPr>
                <w:b/>
                <w:bCs/>
                <w:sz w:val="22"/>
                <w:szCs w:val="22"/>
                <w:lang w:val="en-US"/>
              </w:rPr>
              <w:t>101</w:t>
            </w:r>
            <w:r w:rsidR="00B17A30" w:rsidRPr="008E3CCC">
              <w:rPr>
                <w:b/>
                <w:bCs/>
                <w:sz w:val="22"/>
                <w:szCs w:val="22"/>
                <w:lang w:val="bg-BG"/>
              </w:rPr>
              <w:t xml:space="preserve"> </w:t>
            </w:r>
            <w:r w:rsidR="008E3CCC" w:rsidRPr="008E3CCC">
              <w:rPr>
                <w:b/>
                <w:bCs/>
                <w:sz w:val="22"/>
                <w:szCs w:val="22"/>
                <w:lang w:val="en-US"/>
              </w:rPr>
              <w:t>898</w:t>
            </w:r>
          </w:p>
        </w:tc>
      </w:tr>
    </w:tbl>
    <w:p w14:paraId="1936F445" w14:textId="77777777" w:rsidR="00917170" w:rsidRPr="00424817" w:rsidRDefault="00917170" w:rsidP="00190247">
      <w:pPr>
        <w:pStyle w:val="ListParagraph"/>
        <w:jc w:val="both"/>
        <w:rPr>
          <w:sz w:val="22"/>
          <w:szCs w:val="22"/>
          <w:lang w:val="bg-BG"/>
        </w:rPr>
      </w:pPr>
    </w:p>
    <w:p w14:paraId="6C45B0B6" w14:textId="77777777" w:rsidR="00917170" w:rsidRPr="00424817" w:rsidRDefault="00917170" w:rsidP="001C15B8">
      <w:pPr>
        <w:pStyle w:val="ListParagraph"/>
        <w:numPr>
          <w:ilvl w:val="1"/>
          <w:numId w:val="8"/>
        </w:numPr>
        <w:ind w:left="0" w:hanging="357"/>
        <w:jc w:val="both"/>
        <w:rPr>
          <w:sz w:val="22"/>
          <w:szCs w:val="22"/>
          <w:lang w:val="bg-BG"/>
        </w:rPr>
      </w:pPr>
      <w:r w:rsidRPr="00424817">
        <w:rPr>
          <w:b/>
          <w:bCs/>
          <w:sz w:val="22"/>
          <w:szCs w:val="22"/>
          <w:lang w:val="bg-BG"/>
        </w:rPr>
        <w:t>КОЕФИЦИЕНТ НА ПОКРИТИЕ НА ОБЕЗПЕЧЕНИЕТО</w:t>
      </w:r>
      <w:r w:rsidRPr="00424817">
        <w:rPr>
          <w:sz w:val="22"/>
          <w:szCs w:val="22"/>
          <w:lang w:val="bg-BG"/>
        </w:rPr>
        <w:t xml:space="preserve"> </w:t>
      </w:r>
    </w:p>
    <w:p w14:paraId="4899386B" w14:textId="3FFB7F4C" w:rsidR="00917170" w:rsidRPr="00424817" w:rsidRDefault="00917170" w:rsidP="00CE52F2">
      <w:pPr>
        <w:pStyle w:val="ListParagraph"/>
        <w:ind w:left="0"/>
        <w:jc w:val="both"/>
        <w:rPr>
          <w:sz w:val="22"/>
          <w:szCs w:val="22"/>
          <w:lang w:val="bg-BG"/>
        </w:rPr>
      </w:pPr>
      <w:r w:rsidRPr="00424817">
        <w:rPr>
          <w:sz w:val="22"/>
          <w:szCs w:val="22"/>
          <w:lang w:val="bg-BG"/>
        </w:rPr>
        <w:t xml:space="preserve">Съгласно поетия от емитента ангажимент, пазарна стойност на НЕДВИЖИМИТЕ ИМОТИ, предмет на обезпечението,  съгласно пазарната оценка, извършена по реда на чл. 2, т. 11 от Договора и ПАРИЧНИТЕ СРЕДСТВА ПО РЕЗЕРВНАТА СМЕТКА съгласно чл. 2.16. от ПРЕДЛОЖЕНИЕТО,  трябва да покриват във всеки един момент от съществуването на ЕМИСИЯТА </w:t>
      </w:r>
      <w:r w:rsidRPr="00424817">
        <w:rPr>
          <w:b/>
          <w:bCs/>
          <w:sz w:val="22"/>
          <w:szCs w:val="22"/>
          <w:lang w:val="bg-BG"/>
        </w:rPr>
        <w:t>МИНИМУМ  200%</w:t>
      </w:r>
      <w:r w:rsidRPr="00424817">
        <w:rPr>
          <w:sz w:val="22"/>
          <w:szCs w:val="22"/>
          <w:lang w:val="bg-BG"/>
        </w:rPr>
        <w:t xml:space="preserve"> ОТ ОСТАТЪЧНАТА СТОЙНОСТ НА ОБЛИГАЦИОННАТА ЕМИСИЯ КЪМ </w:t>
      </w:r>
      <w:r w:rsidR="00492D9A" w:rsidRPr="00424817">
        <w:rPr>
          <w:sz w:val="22"/>
          <w:szCs w:val="22"/>
          <w:lang w:val="bg-BG"/>
        </w:rPr>
        <w:t>3</w:t>
      </w:r>
      <w:r w:rsidR="00120305" w:rsidRPr="00D1219E">
        <w:rPr>
          <w:sz w:val="22"/>
          <w:szCs w:val="22"/>
          <w:lang w:val="bg-BG"/>
        </w:rPr>
        <w:t>0</w:t>
      </w:r>
      <w:r w:rsidRPr="00424817">
        <w:rPr>
          <w:sz w:val="22"/>
          <w:szCs w:val="22"/>
          <w:lang w:val="bg-BG"/>
        </w:rPr>
        <w:t>.</w:t>
      </w:r>
      <w:r w:rsidR="00B742BC" w:rsidRPr="00D1219E">
        <w:rPr>
          <w:sz w:val="22"/>
          <w:szCs w:val="22"/>
          <w:lang w:val="bg-BG"/>
        </w:rPr>
        <w:t>0</w:t>
      </w:r>
      <w:r w:rsidR="00120305" w:rsidRPr="00D1219E">
        <w:rPr>
          <w:sz w:val="22"/>
          <w:szCs w:val="22"/>
          <w:lang w:val="bg-BG"/>
        </w:rPr>
        <w:t>6</w:t>
      </w:r>
      <w:r w:rsidRPr="00424817">
        <w:rPr>
          <w:sz w:val="22"/>
          <w:szCs w:val="22"/>
          <w:lang w:val="bg-BG"/>
        </w:rPr>
        <w:t>.20</w:t>
      </w:r>
      <w:r w:rsidR="00492D9A" w:rsidRPr="00424817">
        <w:rPr>
          <w:sz w:val="22"/>
          <w:szCs w:val="22"/>
          <w:lang w:val="bg-BG"/>
        </w:rPr>
        <w:t>2</w:t>
      </w:r>
      <w:r w:rsidR="00B742BC" w:rsidRPr="00D1219E">
        <w:rPr>
          <w:sz w:val="22"/>
          <w:szCs w:val="22"/>
          <w:lang w:val="bg-BG"/>
        </w:rPr>
        <w:t>1</w:t>
      </w:r>
      <w:r w:rsidRPr="00424817">
        <w:rPr>
          <w:sz w:val="22"/>
          <w:szCs w:val="22"/>
          <w:lang w:val="bg-BG"/>
        </w:rPr>
        <w:t xml:space="preserve"> г. </w:t>
      </w:r>
    </w:p>
    <w:p w14:paraId="391635EA" w14:textId="77777777" w:rsidR="00917170" w:rsidRPr="00424817" w:rsidRDefault="00917170" w:rsidP="00CE52F2">
      <w:pPr>
        <w:pStyle w:val="ListParagraph"/>
        <w:ind w:left="0"/>
        <w:jc w:val="both"/>
        <w:rPr>
          <w:b/>
          <w:bCs/>
          <w:sz w:val="22"/>
          <w:szCs w:val="22"/>
          <w:lang w:val="bg-BG"/>
        </w:rPr>
      </w:pPr>
    </w:p>
    <w:p w14:paraId="241F3211" w14:textId="73A4B29E" w:rsidR="00917170" w:rsidRPr="00424817" w:rsidRDefault="00917170" w:rsidP="00CE52F2">
      <w:pPr>
        <w:pStyle w:val="ListParagraph"/>
        <w:ind w:left="0"/>
        <w:jc w:val="both"/>
        <w:rPr>
          <w:b/>
          <w:bCs/>
          <w:sz w:val="22"/>
          <w:szCs w:val="22"/>
          <w:lang w:val="bg-BG"/>
        </w:rPr>
      </w:pPr>
      <w:r w:rsidRPr="00424817">
        <w:rPr>
          <w:b/>
          <w:bCs/>
          <w:sz w:val="22"/>
          <w:szCs w:val="22"/>
          <w:lang w:val="bg-BG"/>
        </w:rPr>
        <w:t xml:space="preserve">Към </w:t>
      </w:r>
      <w:r w:rsidR="00492D9A" w:rsidRPr="00424817">
        <w:rPr>
          <w:b/>
          <w:bCs/>
          <w:sz w:val="22"/>
          <w:szCs w:val="22"/>
          <w:lang w:val="bg-BG"/>
        </w:rPr>
        <w:t>3</w:t>
      </w:r>
      <w:r w:rsidR="00120305" w:rsidRPr="00D1219E">
        <w:rPr>
          <w:b/>
          <w:bCs/>
          <w:sz w:val="22"/>
          <w:szCs w:val="22"/>
          <w:lang w:val="bg-BG"/>
        </w:rPr>
        <w:t>0</w:t>
      </w:r>
      <w:r w:rsidRPr="00424817">
        <w:rPr>
          <w:b/>
          <w:bCs/>
          <w:sz w:val="22"/>
          <w:szCs w:val="22"/>
          <w:lang w:val="bg-BG"/>
        </w:rPr>
        <w:t>.</w:t>
      </w:r>
      <w:r w:rsidR="00B742BC" w:rsidRPr="00D1219E">
        <w:rPr>
          <w:b/>
          <w:bCs/>
          <w:sz w:val="22"/>
          <w:szCs w:val="22"/>
          <w:lang w:val="bg-BG"/>
        </w:rPr>
        <w:t>0</w:t>
      </w:r>
      <w:r w:rsidR="00120305" w:rsidRPr="00D1219E">
        <w:rPr>
          <w:b/>
          <w:bCs/>
          <w:sz w:val="22"/>
          <w:szCs w:val="22"/>
          <w:lang w:val="bg-BG"/>
        </w:rPr>
        <w:t>6</w:t>
      </w:r>
      <w:r w:rsidRPr="00424817">
        <w:rPr>
          <w:b/>
          <w:bCs/>
          <w:sz w:val="22"/>
          <w:szCs w:val="22"/>
          <w:lang w:val="bg-BG"/>
        </w:rPr>
        <w:t>.20</w:t>
      </w:r>
      <w:r w:rsidR="00135C6C" w:rsidRPr="00424817">
        <w:rPr>
          <w:b/>
          <w:bCs/>
          <w:sz w:val="22"/>
          <w:szCs w:val="22"/>
          <w:lang w:val="bg-BG"/>
        </w:rPr>
        <w:t>2</w:t>
      </w:r>
      <w:r w:rsidR="00B742BC" w:rsidRPr="00D1219E">
        <w:rPr>
          <w:b/>
          <w:bCs/>
          <w:sz w:val="22"/>
          <w:szCs w:val="22"/>
          <w:lang w:val="bg-BG"/>
        </w:rPr>
        <w:t>1</w:t>
      </w:r>
      <w:r w:rsidRPr="00424817">
        <w:rPr>
          <w:b/>
          <w:bCs/>
          <w:sz w:val="22"/>
          <w:szCs w:val="22"/>
          <w:lang w:val="bg-BG"/>
        </w:rPr>
        <w:t xml:space="preserve"> г. пазарна стойност на НЕДВИЖИМИТЕ ИМОТИ, предмет на обезпечението,  съгласно изготвената от „Консултантска къща Амрита“ ООД пазарна оценка и паричните средства по резервната сметка покриват съществуването на емисията, респективно не са под минимума от 200% от остатъчната на облигационната емисия.  </w:t>
      </w:r>
    </w:p>
    <w:p w14:paraId="5BD08AC5" w14:textId="77777777" w:rsidR="00917170" w:rsidRPr="00424817" w:rsidRDefault="00917170" w:rsidP="00190247">
      <w:pPr>
        <w:jc w:val="both"/>
        <w:rPr>
          <w:sz w:val="22"/>
          <w:szCs w:val="22"/>
          <w:lang w:val="bg-BG"/>
        </w:rPr>
      </w:pPr>
    </w:p>
    <w:p w14:paraId="6A68842D" w14:textId="77777777" w:rsidR="00917170" w:rsidRPr="00424817" w:rsidRDefault="00917170" w:rsidP="00A850B2">
      <w:pPr>
        <w:ind w:left="-357"/>
        <w:jc w:val="both"/>
        <w:rPr>
          <w:b/>
          <w:bCs/>
          <w:sz w:val="22"/>
          <w:szCs w:val="22"/>
          <w:lang w:val="bg-BG"/>
        </w:rPr>
      </w:pPr>
      <w:r w:rsidRPr="00424817">
        <w:rPr>
          <w:b/>
          <w:bCs/>
          <w:sz w:val="22"/>
          <w:szCs w:val="22"/>
          <w:lang w:val="bg-BG"/>
        </w:rPr>
        <w:t>3.6. ЗАСТРАХОВКА НА ИМУЩЕСТВОТО (НЕДВИЖИМИ ИМОТИ), ПРЕДМЕТ НА ОБЕЗПЕЧЕНИЕТО</w:t>
      </w:r>
    </w:p>
    <w:p w14:paraId="46A39FAB" w14:textId="77777777" w:rsidR="00917170" w:rsidRPr="00424817" w:rsidRDefault="00917170" w:rsidP="00A850B2">
      <w:pPr>
        <w:ind w:left="-357"/>
        <w:jc w:val="both"/>
        <w:rPr>
          <w:sz w:val="22"/>
          <w:szCs w:val="22"/>
          <w:lang w:val="bg-BG"/>
        </w:rPr>
      </w:pPr>
    </w:p>
    <w:p w14:paraId="2AD90D98" w14:textId="77777777" w:rsidR="00CA7FB3" w:rsidRPr="00CA7FB3" w:rsidRDefault="00917170" w:rsidP="008D4958">
      <w:pPr>
        <w:ind w:left="-357"/>
        <w:jc w:val="both"/>
        <w:rPr>
          <w:sz w:val="22"/>
          <w:szCs w:val="22"/>
          <w:lang w:val="bg-BG"/>
        </w:rPr>
      </w:pPr>
      <w:r w:rsidRPr="00424817">
        <w:rPr>
          <w:sz w:val="22"/>
          <w:szCs w:val="22"/>
          <w:lang w:val="bg-BG"/>
        </w:rPr>
        <w:tab/>
      </w:r>
      <w:r w:rsidRPr="00CA7FB3">
        <w:rPr>
          <w:sz w:val="22"/>
          <w:szCs w:val="22"/>
          <w:lang w:val="bg-BG"/>
        </w:rPr>
        <w:t xml:space="preserve">Към </w:t>
      </w:r>
      <w:r w:rsidR="0016351A" w:rsidRPr="00CA7FB3">
        <w:rPr>
          <w:sz w:val="22"/>
          <w:szCs w:val="22"/>
          <w:lang w:val="bg-BG"/>
        </w:rPr>
        <w:t>3</w:t>
      </w:r>
      <w:r w:rsidR="001018C9" w:rsidRPr="00CA7FB3">
        <w:rPr>
          <w:sz w:val="22"/>
          <w:szCs w:val="22"/>
          <w:lang w:val="bg-BG"/>
        </w:rPr>
        <w:t>0</w:t>
      </w:r>
      <w:r w:rsidRPr="00CA7FB3">
        <w:rPr>
          <w:sz w:val="22"/>
          <w:szCs w:val="22"/>
          <w:lang w:val="bg-BG"/>
        </w:rPr>
        <w:t>.</w:t>
      </w:r>
      <w:r w:rsidR="00B742BC" w:rsidRPr="00D1219E">
        <w:rPr>
          <w:sz w:val="22"/>
          <w:szCs w:val="22"/>
          <w:lang w:val="bg-BG"/>
        </w:rPr>
        <w:t>0</w:t>
      </w:r>
      <w:r w:rsidR="001018C9" w:rsidRPr="00CA7FB3">
        <w:rPr>
          <w:sz w:val="22"/>
          <w:szCs w:val="22"/>
          <w:lang w:val="bg-BG"/>
        </w:rPr>
        <w:t>6</w:t>
      </w:r>
      <w:r w:rsidRPr="00CA7FB3">
        <w:rPr>
          <w:sz w:val="22"/>
          <w:szCs w:val="22"/>
          <w:lang w:val="bg-BG"/>
        </w:rPr>
        <w:t>.20</w:t>
      </w:r>
      <w:r w:rsidR="00135C6C" w:rsidRPr="00CA7FB3">
        <w:rPr>
          <w:sz w:val="22"/>
          <w:szCs w:val="22"/>
          <w:lang w:val="bg-BG"/>
        </w:rPr>
        <w:t>2</w:t>
      </w:r>
      <w:r w:rsidR="00B742BC" w:rsidRPr="00D1219E">
        <w:rPr>
          <w:sz w:val="22"/>
          <w:szCs w:val="22"/>
          <w:lang w:val="bg-BG"/>
        </w:rPr>
        <w:t>1</w:t>
      </w:r>
      <w:r w:rsidRPr="00CA7FB3">
        <w:rPr>
          <w:sz w:val="22"/>
          <w:szCs w:val="22"/>
          <w:lang w:val="bg-BG"/>
        </w:rPr>
        <w:t xml:space="preserve"> г. е налице валид</w:t>
      </w:r>
      <w:r w:rsidR="001018C9" w:rsidRPr="00CA7FB3">
        <w:rPr>
          <w:sz w:val="22"/>
          <w:szCs w:val="22"/>
          <w:lang w:val="bg-BG"/>
        </w:rPr>
        <w:t xml:space="preserve">на комбинирана застрахователна полица „Всички рискове: Имуществени вреди и прекъсване на дейността“. Полицата е издадена от ЗАД „Булстрад Виена Иншурънс Груп“ АД, като срокът на застрахователното покритие е от </w:t>
      </w:r>
      <w:r w:rsidR="000B24FF" w:rsidRPr="00CA7FB3">
        <w:rPr>
          <w:sz w:val="22"/>
          <w:szCs w:val="22"/>
          <w:lang w:val="bg-BG"/>
        </w:rPr>
        <w:t xml:space="preserve">00.00 часа на 09.05.2021 г. до 24.00 на 08.05.2022 г. В изпълнение на ангажиментите по проспекта, както и в съответствие с </w:t>
      </w:r>
      <w:r w:rsidR="000B24FF" w:rsidRPr="00CA7FB3">
        <w:rPr>
          <w:sz w:val="22"/>
          <w:szCs w:val="22"/>
          <w:lang w:val="bg-BG"/>
        </w:rPr>
        <w:lastRenderedPageBreak/>
        <w:t xml:space="preserve">изискванията на чл. 21, ал. 1 от ЗДСИЦДС, застрахователната полица покрива като минимум  рисковете по  раздел </w:t>
      </w:r>
      <w:r w:rsidR="000B24FF" w:rsidRPr="00CA7FB3">
        <w:rPr>
          <w:sz w:val="22"/>
          <w:szCs w:val="22"/>
          <w:lang w:val="en-US"/>
        </w:rPr>
        <w:t>II</w:t>
      </w:r>
      <w:r w:rsidR="000B24FF" w:rsidRPr="00CA7FB3">
        <w:rPr>
          <w:sz w:val="22"/>
          <w:szCs w:val="22"/>
          <w:lang w:val="bg-BG"/>
        </w:rPr>
        <w:t>, т. 8 първо-четвърто и шесто тире от приложение № 1 от Кодекса за застраховането. В полицата са включени и допълнителни покрития като граждански безредици, злоумишлени действия</w:t>
      </w:r>
      <w:r w:rsidR="00CA7FB3" w:rsidRPr="00CA7FB3">
        <w:rPr>
          <w:sz w:val="22"/>
          <w:szCs w:val="22"/>
          <w:lang w:val="bg-BG"/>
        </w:rPr>
        <w:t xml:space="preserve"> и др.  </w:t>
      </w:r>
    </w:p>
    <w:p w14:paraId="57EA9BC9" w14:textId="0BB5AD0A" w:rsidR="001018C9" w:rsidRPr="00CA7FB3" w:rsidRDefault="00CA7FB3" w:rsidP="008D4958">
      <w:pPr>
        <w:ind w:left="-357"/>
        <w:jc w:val="both"/>
        <w:rPr>
          <w:sz w:val="22"/>
          <w:szCs w:val="22"/>
          <w:lang w:val="bg-BG"/>
        </w:rPr>
      </w:pPr>
      <w:r w:rsidRPr="00CA7FB3">
        <w:rPr>
          <w:sz w:val="22"/>
          <w:szCs w:val="22"/>
          <w:lang w:val="bg-BG"/>
        </w:rPr>
        <w:t xml:space="preserve">Банката довереник на облигационерите „Обединена Българска Банка“ АД е ко-бенефициент на застрахователното обезщетение.  </w:t>
      </w:r>
      <w:r w:rsidR="000B24FF" w:rsidRPr="00CA7FB3">
        <w:rPr>
          <w:sz w:val="22"/>
          <w:szCs w:val="22"/>
          <w:lang w:val="bg-BG"/>
        </w:rPr>
        <w:t xml:space="preserve"> </w:t>
      </w:r>
    </w:p>
    <w:p w14:paraId="3B4DD3D2" w14:textId="77777777" w:rsidR="001018C9" w:rsidRPr="00CA7FB3" w:rsidRDefault="001018C9" w:rsidP="008D4958">
      <w:pPr>
        <w:ind w:left="-357"/>
        <w:jc w:val="both"/>
        <w:rPr>
          <w:sz w:val="22"/>
          <w:szCs w:val="22"/>
          <w:lang w:val="bg-BG"/>
        </w:rPr>
      </w:pPr>
    </w:p>
    <w:p w14:paraId="1565B5BA" w14:textId="7574479D" w:rsidR="007705B5" w:rsidRPr="003F49DF" w:rsidRDefault="00917170" w:rsidP="008D4958">
      <w:pPr>
        <w:ind w:left="-357"/>
        <w:jc w:val="both"/>
        <w:rPr>
          <w:sz w:val="22"/>
          <w:szCs w:val="22"/>
          <w:highlight w:val="yellow"/>
          <w:lang w:val="bg-BG"/>
        </w:rPr>
      </w:pPr>
      <w:r w:rsidRPr="003F49DF">
        <w:rPr>
          <w:sz w:val="22"/>
          <w:szCs w:val="22"/>
          <w:highlight w:val="yellow"/>
          <w:lang w:val="bg-BG"/>
        </w:rPr>
        <w:t xml:space="preserve"> </w:t>
      </w:r>
      <w:r w:rsidR="007705B5" w:rsidRPr="003F49DF">
        <w:rPr>
          <w:sz w:val="22"/>
          <w:szCs w:val="22"/>
          <w:highlight w:val="yellow"/>
          <w:lang w:val="bg-BG"/>
        </w:rPr>
        <w:t xml:space="preserve"> </w:t>
      </w:r>
    </w:p>
    <w:p w14:paraId="24B0D6B8" w14:textId="4194AB9B" w:rsidR="007705B5" w:rsidRPr="003F49DF" w:rsidRDefault="007705B5" w:rsidP="007705B5">
      <w:pPr>
        <w:ind w:left="-357"/>
        <w:jc w:val="both"/>
        <w:rPr>
          <w:sz w:val="22"/>
          <w:szCs w:val="22"/>
          <w:highlight w:val="yellow"/>
          <w:lang w:val="bg-BG"/>
        </w:rPr>
      </w:pPr>
      <w:r w:rsidRPr="003F49DF">
        <w:rPr>
          <w:sz w:val="22"/>
          <w:szCs w:val="22"/>
          <w:highlight w:val="yellow"/>
          <w:lang w:val="bg-BG"/>
        </w:rPr>
        <w:t xml:space="preserve">  </w:t>
      </w:r>
    </w:p>
    <w:p w14:paraId="209E0FD0" w14:textId="77777777" w:rsidR="00917170" w:rsidRPr="00424817" w:rsidRDefault="00917170" w:rsidP="001C15B8">
      <w:pPr>
        <w:pStyle w:val="ListParagraph"/>
        <w:numPr>
          <w:ilvl w:val="0"/>
          <w:numId w:val="8"/>
        </w:numPr>
        <w:ind w:left="0"/>
        <w:jc w:val="both"/>
        <w:rPr>
          <w:b/>
          <w:bCs/>
          <w:sz w:val="22"/>
          <w:szCs w:val="22"/>
          <w:lang w:val="en-US"/>
        </w:rPr>
      </w:pPr>
      <w:r w:rsidRPr="00424817">
        <w:rPr>
          <w:b/>
          <w:bCs/>
          <w:sz w:val="22"/>
          <w:szCs w:val="22"/>
          <w:lang w:val="bg-BG"/>
        </w:rPr>
        <w:t xml:space="preserve">ФИНАНСОВИ КОЕФИЦИЕНТИ </w:t>
      </w:r>
    </w:p>
    <w:p w14:paraId="6AD16AB0" w14:textId="77777777" w:rsidR="00917170" w:rsidRPr="00424817" w:rsidRDefault="00917170" w:rsidP="005D0BA3">
      <w:pPr>
        <w:pStyle w:val="ListParagraph"/>
        <w:ind w:left="0"/>
        <w:jc w:val="both"/>
        <w:rPr>
          <w:sz w:val="22"/>
          <w:szCs w:val="22"/>
          <w:lang w:val="en-US"/>
        </w:rPr>
      </w:pPr>
    </w:p>
    <w:p w14:paraId="7EF6D0C1" w14:textId="77777777" w:rsidR="00917170" w:rsidRPr="00424817" w:rsidRDefault="00917170" w:rsidP="001C15B8">
      <w:pPr>
        <w:pStyle w:val="ListParagraph"/>
        <w:numPr>
          <w:ilvl w:val="1"/>
          <w:numId w:val="8"/>
        </w:numPr>
        <w:ind w:left="0"/>
        <w:jc w:val="both"/>
        <w:rPr>
          <w:sz w:val="22"/>
          <w:szCs w:val="22"/>
          <w:lang w:val="bg-BG"/>
        </w:rPr>
      </w:pPr>
      <w:r w:rsidRPr="00424817">
        <w:rPr>
          <w:b/>
          <w:bCs/>
          <w:sz w:val="22"/>
          <w:szCs w:val="22"/>
          <w:lang w:val="bg-BG"/>
        </w:rPr>
        <w:t>КОЕФИЦИЕНТ НА ПОКРИТИЕ НА ЛИХВЕНИТЕ ПЛАЩАНИЯ</w:t>
      </w:r>
      <w:r w:rsidRPr="00424817">
        <w:rPr>
          <w:sz w:val="22"/>
          <w:szCs w:val="22"/>
          <w:lang w:val="bg-BG"/>
        </w:rPr>
        <w:t xml:space="preserve">  </w:t>
      </w:r>
      <w:r w:rsidRPr="00424817">
        <w:rPr>
          <w:sz w:val="22"/>
          <w:szCs w:val="22"/>
          <w:lang w:val="en-US"/>
        </w:rPr>
        <w:t xml:space="preserve">(ISCR) </w:t>
      </w:r>
      <w:r w:rsidRPr="00424817">
        <w:rPr>
          <w:sz w:val="22"/>
          <w:szCs w:val="22"/>
          <w:lang w:val="bg-BG"/>
        </w:rPr>
        <w:t xml:space="preserve">НА </w:t>
      </w:r>
      <w:r w:rsidRPr="00424817">
        <w:rPr>
          <w:b/>
          <w:bCs/>
          <w:sz w:val="22"/>
          <w:szCs w:val="22"/>
          <w:lang w:val="bg-BG"/>
        </w:rPr>
        <w:t>12  МЕСЕЧНА БАЗА</w:t>
      </w:r>
      <w:r w:rsidRPr="00424817">
        <w:rPr>
          <w:b/>
          <w:bCs/>
          <w:sz w:val="22"/>
          <w:szCs w:val="22"/>
          <w:lang w:val="en-US"/>
        </w:rPr>
        <w:t xml:space="preserve"> </w:t>
      </w:r>
      <w:r w:rsidRPr="00424817">
        <w:rPr>
          <w:sz w:val="22"/>
          <w:szCs w:val="22"/>
          <w:lang w:val="bg-BG"/>
        </w:rPr>
        <w:t xml:space="preserve">–прогнозно за предстоящите 12 месеца. </w:t>
      </w:r>
    </w:p>
    <w:p w14:paraId="5DB36ED4" w14:textId="77777777" w:rsidR="00917170" w:rsidRPr="00424817" w:rsidRDefault="00917170" w:rsidP="00364321">
      <w:pPr>
        <w:pStyle w:val="ListParagraph"/>
        <w:ind w:left="0"/>
        <w:jc w:val="both"/>
        <w:rPr>
          <w:sz w:val="22"/>
          <w:szCs w:val="22"/>
          <w:lang w:val="bg-BG"/>
        </w:rPr>
      </w:pPr>
    </w:p>
    <w:p w14:paraId="47AF9873" w14:textId="77777777" w:rsidR="00917170" w:rsidRPr="00424817" w:rsidRDefault="00917170" w:rsidP="00190247">
      <w:pPr>
        <w:jc w:val="both"/>
        <w:rPr>
          <w:sz w:val="22"/>
          <w:szCs w:val="22"/>
          <w:lang w:val="bg-BG"/>
        </w:rPr>
      </w:pPr>
      <w:r w:rsidRPr="00424817">
        <w:rPr>
          <w:sz w:val="22"/>
          <w:szCs w:val="22"/>
          <w:lang w:val="bg-BG"/>
        </w:rPr>
        <w:t>ISCR е съотношението между нетния оперативен доход на Eмитента (приходи от наеми и такси за поддръжка, дължими от наемателите в Имотите, минус разходите, свързани с услуги и доставки (ток, вода и т.н.), данъци и такси, други разходи за управление и поддръжка, които не се поемат от наемателите, такси, свързани с управлението на активите (включително и разходите за управление на Емитента), капиталови разходи направени с приходи от дейността, както и невъзстановяеми разходи) и лихвените/купонни плащания. Изпълнението на това задължение се удостоверява от Емитента с писмена справка, извлечена от счетоводната система на Емитента, подкрепено с извлечение от сметките на Емитента при Банката-Депозитар, с необходимата информация за изчисляване на съотношението, от която да е видно спазването на този ангажимент, а относно изчислението на прогнозна база – писмо от Емитента за изчислената стойност, както и начина, по който е извършено изчислението.</w:t>
      </w:r>
    </w:p>
    <w:p w14:paraId="36786106" w14:textId="77777777" w:rsidR="00917170" w:rsidRPr="00424817" w:rsidRDefault="00917170" w:rsidP="00190247">
      <w:pPr>
        <w:jc w:val="both"/>
        <w:rPr>
          <w:sz w:val="22"/>
          <w:szCs w:val="22"/>
          <w:lang w:val="bg-BG"/>
        </w:rPr>
      </w:pPr>
    </w:p>
    <w:p w14:paraId="7BB6459B" w14:textId="6EE46C33" w:rsidR="00917170" w:rsidRPr="00424817" w:rsidRDefault="00917170" w:rsidP="00190247">
      <w:pPr>
        <w:jc w:val="both"/>
        <w:rPr>
          <w:sz w:val="22"/>
          <w:szCs w:val="22"/>
          <w:lang w:val="bg-BG"/>
        </w:rPr>
      </w:pPr>
      <w:r w:rsidRPr="00424817">
        <w:rPr>
          <w:sz w:val="22"/>
          <w:szCs w:val="22"/>
          <w:lang w:val="bg-BG"/>
        </w:rPr>
        <w:t>Съгласно чл. 2, т.8 от Договора за изпълнение на функцията „Довереник на облигационерите“, изчислението на коефициента се извършва на всеки 6 месеца като първото изчисление на коефициента на прогнозна база ще бъде извършено в началото на второто шестмесечие на 2019</w:t>
      </w:r>
      <w:r w:rsidR="00135C6C" w:rsidRPr="00424817">
        <w:rPr>
          <w:sz w:val="22"/>
          <w:szCs w:val="22"/>
          <w:lang w:val="bg-BG"/>
        </w:rPr>
        <w:t xml:space="preserve"> </w:t>
      </w:r>
      <w:r w:rsidRPr="00424817">
        <w:rPr>
          <w:sz w:val="22"/>
          <w:szCs w:val="22"/>
          <w:lang w:val="bg-BG"/>
        </w:rPr>
        <w:t xml:space="preserve">г., а първото изчисление на реална база ще бъде извършено в края на 2019 г. За първото изчисление на прогнозна база и първото изчисление на реална база коефициентът ще е минимум (≥) </w:t>
      </w:r>
      <w:r w:rsidRPr="00424817">
        <w:rPr>
          <w:b/>
          <w:bCs/>
          <w:sz w:val="22"/>
          <w:szCs w:val="22"/>
          <w:lang w:val="bg-BG"/>
        </w:rPr>
        <w:t>2.00</w:t>
      </w:r>
      <w:r w:rsidRPr="00424817">
        <w:rPr>
          <w:sz w:val="22"/>
          <w:szCs w:val="22"/>
          <w:lang w:val="bg-BG"/>
        </w:rPr>
        <w:t>.</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9"/>
        <w:gridCol w:w="4759"/>
      </w:tblGrid>
      <w:tr w:rsidR="00917170" w:rsidRPr="00D1219E" w14:paraId="02EA90A8" w14:textId="77777777">
        <w:tc>
          <w:tcPr>
            <w:tcW w:w="2438" w:type="pct"/>
          </w:tcPr>
          <w:p w14:paraId="429868EB" w14:textId="51BB7745" w:rsidR="00917170" w:rsidRPr="00424817" w:rsidRDefault="00917170" w:rsidP="00180193">
            <w:pPr>
              <w:pStyle w:val="ListParagraph"/>
              <w:ind w:left="0"/>
              <w:jc w:val="both"/>
              <w:rPr>
                <w:caps/>
                <w:lang w:val="bg-BG"/>
              </w:rPr>
            </w:pPr>
            <w:r w:rsidRPr="00424817">
              <w:rPr>
                <w:sz w:val="22"/>
                <w:szCs w:val="22"/>
                <w:lang w:val="bg-BG"/>
              </w:rPr>
              <w:t>В таблицата по-долу и в съответствие с ангажиментите на емитента по договора, са представени прогнозните стойности за следващите 12 месеца, считано от 3</w:t>
            </w:r>
            <w:r w:rsidR="00120305" w:rsidRPr="00D1219E">
              <w:rPr>
                <w:sz w:val="22"/>
                <w:szCs w:val="22"/>
                <w:lang w:val="bg-BG"/>
              </w:rPr>
              <w:t>0</w:t>
            </w:r>
            <w:r w:rsidRPr="00424817">
              <w:rPr>
                <w:sz w:val="22"/>
                <w:szCs w:val="22"/>
                <w:lang w:val="bg-BG"/>
              </w:rPr>
              <w:t>.</w:t>
            </w:r>
            <w:r w:rsidR="00120305" w:rsidRPr="00D1219E">
              <w:rPr>
                <w:sz w:val="22"/>
                <w:szCs w:val="22"/>
                <w:lang w:val="bg-BG"/>
              </w:rPr>
              <w:t>06</w:t>
            </w:r>
            <w:r w:rsidRPr="00424817">
              <w:rPr>
                <w:sz w:val="22"/>
                <w:szCs w:val="22"/>
                <w:lang w:val="bg-BG"/>
              </w:rPr>
              <w:t>.20</w:t>
            </w:r>
            <w:r w:rsidR="00135C6C" w:rsidRPr="00424817">
              <w:rPr>
                <w:sz w:val="22"/>
                <w:szCs w:val="22"/>
                <w:lang w:val="bg-BG"/>
              </w:rPr>
              <w:t>2</w:t>
            </w:r>
            <w:r w:rsidR="00120305" w:rsidRPr="00D1219E">
              <w:rPr>
                <w:sz w:val="22"/>
                <w:szCs w:val="22"/>
                <w:lang w:val="bg-BG"/>
              </w:rPr>
              <w:t>1</w:t>
            </w:r>
            <w:r w:rsidRPr="00424817">
              <w:rPr>
                <w:sz w:val="22"/>
                <w:szCs w:val="22"/>
                <w:lang w:val="bg-BG"/>
              </w:rPr>
              <w:t xml:space="preserve"> г.</w:t>
            </w:r>
          </w:p>
        </w:tc>
        <w:tc>
          <w:tcPr>
            <w:tcW w:w="2562" w:type="pct"/>
          </w:tcPr>
          <w:p w14:paraId="6BFDCE91" w14:textId="77777777" w:rsidR="00917170" w:rsidRPr="008E3CCC" w:rsidRDefault="00917170" w:rsidP="00180193">
            <w:pPr>
              <w:pStyle w:val="ListParagraph"/>
              <w:ind w:left="0"/>
              <w:jc w:val="both"/>
              <w:rPr>
                <w:caps/>
                <w:lang w:val="bg-BG"/>
              </w:rPr>
            </w:pPr>
            <w:r w:rsidRPr="008E3CCC">
              <w:rPr>
                <w:caps/>
                <w:sz w:val="22"/>
                <w:szCs w:val="22"/>
                <w:lang w:val="bg-BG"/>
              </w:rPr>
              <w:t xml:space="preserve">ПРОГНОЗНИ СТОЙНОСТИ за следващите 12 месеца от (датата на отчета)  (в лв.) </w:t>
            </w:r>
          </w:p>
        </w:tc>
      </w:tr>
      <w:tr w:rsidR="00917170" w:rsidRPr="00424817" w14:paraId="7651EF86" w14:textId="77777777">
        <w:tc>
          <w:tcPr>
            <w:tcW w:w="2438" w:type="pct"/>
          </w:tcPr>
          <w:p w14:paraId="7BBC39CB" w14:textId="77777777" w:rsidR="00917170" w:rsidRPr="00D34003" w:rsidRDefault="00917170" w:rsidP="00180193">
            <w:pPr>
              <w:pStyle w:val="ListParagraph"/>
              <w:ind w:left="0"/>
              <w:rPr>
                <w:i/>
                <w:iCs/>
                <w:caps/>
                <w:lang w:val="bg-BG"/>
              </w:rPr>
            </w:pPr>
            <w:r w:rsidRPr="00D34003">
              <w:rPr>
                <w:caps/>
                <w:sz w:val="22"/>
                <w:szCs w:val="22"/>
                <w:lang w:val="bg-BG"/>
              </w:rPr>
              <w:t>а. приходи от наеми и такси за поддръжка, дължими от наемателите в Имотите</w:t>
            </w:r>
          </w:p>
        </w:tc>
        <w:tc>
          <w:tcPr>
            <w:tcW w:w="2562" w:type="pct"/>
          </w:tcPr>
          <w:p w14:paraId="7F022CDC" w14:textId="7F058595" w:rsidR="00917170" w:rsidRPr="008E3CCC" w:rsidRDefault="00356AE4" w:rsidP="00180193">
            <w:pPr>
              <w:pStyle w:val="ListParagraph"/>
              <w:numPr>
                <w:ilvl w:val="0"/>
                <w:numId w:val="14"/>
              </w:numPr>
              <w:ind w:left="414"/>
              <w:jc w:val="both"/>
              <w:rPr>
                <w:lang w:val="en-US"/>
              </w:rPr>
            </w:pPr>
            <w:r w:rsidRPr="008E3CCC">
              <w:rPr>
                <w:b/>
                <w:bCs/>
                <w:sz w:val="22"/>
                <w:szCs w:val="22"/>
                <w:lang w:val="bg-BG"/>
              </w:rPr>
              <w:t xml:space="preserve">4 </w:t>
            </w:r>
            <w:r w:rsidR="008E3CCC" w:rsidRPr="008E3CCC">
              <w:rPr>
                <w:b/>
                <w:bCs/>
                <w:sz w:val="22"/>
                <w:szCs w:val="22"/>
                <w:lang w:val="en-US"/>
              </w:rPr>
              <w:t>007</w:t>
            </w:r>
            <w:r w:rsidR="00963823" w:rsidRPr="008E3CCC">
              <w:rPr>
                <w:b/>
                <w:bCs/>
                <w:sz w:val="22"/>
                <w:szCs w:val="22"/>
                <w:lang w:val="bg-BG"/>
              </w:rPr>
              <w:t xml:space="preserve"> </w:t>
            </w:r>
            <w:r w:rsidR="008E3CCC" w:rsidRPr="008E3CCC">
              <w:rPr>
                <w:b/>
                <w:bCs/>
                <w:sz w:val="22"/>
                <w:szCs w:val="22"/>
                <w:lang w:val="en-US"/>
              </w:rPr>
              <w:t>381</w:t>
            </w:r>
            <w:r w:rsidR="00963823" w:rsidRPr="008E3CCC">
              <w:rPr>
                <w:b/>
                <w:bCs/>
                <w:sz w:val="22"/>
                <w:szCs w:val="22"/>
                <w:lang w:val="en-US"/>
              </w:rPr>
              <w:t xml:space="preserve"> </w:t>
            </w:r>
            <w:r w:rsidR="00917170" w:rsidRPr="008E3CCC">
              <w:rPr>
                <w:b/>
                <w:bCs/>
                <w:sz w:val="22"/>
                <w:szCs w:val="22"/>
                <w:lang w:val="bg-BG"/>
              </w:rPr>
              <w:t>лева</w:t>
            </w:r>
            <w:r w:rsidR="00917170" w:rsidRPr="008E3CCC">
              <w:rPr>
                <w:sz w:val="22"/>
                <w:szCs w:val="22"/>
                <w:lang w:val="bg-BG"/>
              </w:rPr>
              <w:t xml:space="preserve"> приходи от наем</w:t>
            </w:r>
          </w:p>
          <w:p w14:paraId="117FFE78" w14:textId="7C3ABC87" w:rsidR="00917170" w:rsidRPr="008E3CCC" w:rsidRDefault="00963823" w:rsidP="00180193">
            <w:pPr>
              <w:pStyle w:val="ListParagraph"/>
              <w:numPr>
                <w:ilvl w:val="0"/>
                <w:numId w:val="14"/>
              </w:numPr>
              <w:ind w:left="414"/>
              <w:jc w:val="both"/>
              <w:rPr>
                <w:lang w:val="en-US"/>
              </w:rPr>
            </w:pPr>
            <w:r w:rsidRPr="008E3CCC">
              <w:rPr>
                <w:sz w:val="22"/>
                <w:szCs w:val="22"/>
                <w:lang w:val="bg-BG"/>
              </w:rPr>
              <w:t>8</w:t>
            </w:r>
            <w:r w:rsidR="007B0E1C" w:rsidRPr="008E3CCC">
              <w:rPr>
                <w:sz w:val="22"/>
                <w:szCs w:val="22"/>
                <w:lang w:val="bg-BG"/>
              </w:rPr>
              <w:t>71</w:t>
            </w:r>
            <w:r w:rsidR="00C40266" w:rsidRPr="008E3CCC">
              <w:rPr>
                <w:sz w:val="22"/>
                <w:szCs w:val="22"/>
                <w:lang w:val="bg-BG"/>
              </w:rPr>
              <w:t>,</w:t>
            </w:r>
            <w:r w:rsidR="008E3CCC" w:rsidRPr="008E3CCC">
              <w:rPr>
                <w:sz w:val="22"/>
                <w:szCs w:val="22"/>
                <w:lang w:val="en-US"/>
              </w:rPr>
              <w:t>087</w:t>
            </w:r>
            <w:r w:rsidR="009354A5" w:rsidRPr="008E3CCC">
              <w:rPr>
                <w:sz w:val="22"/>
                <w:szCs w:val="22"/>
                <w:lang w:val="bg-BG"/>
              </w:rPr>
              <w:t xml:space="preserve"> </w:t>
            </w:r>
            <w:r w:rsidR="00917170" w:rsidRPr="008E3CCC">
              <w:rPr>
                <w:sz w:val="22"/>
                <w:szCs w:val="22"/>
                <w:lang w:val="bg-BG"/>
              </w:rPr>
              <w:t xml:space="preserve">лева приходи от такса поддръжка </w:t>
            </w:r>
          </w:p>
        </w:tc>
      </w:tr>
      <w:tr w:rsidR="00917170" w:rsidRPr="00D1219E" w14:paraId="0F03E5F3" w14:textId="77777777">
        <w:tc>
          <w:tcPr>
            <w:tcW w:w="2438" w:type="pct"/>
          </w:tcPr>
          <w:p w14:paraId="405ECEC8" w14:textId="77777777" w:rsidR="00917170" w:rsidRPr="00424817" w:rsidRDefault="00917170" w:rsidP="00180193">
            <w:pPr>
              <w:pStyle w:val="ListParagraph"/>
              <w:ind w:left="0"/>
              <w:rPr>
                <w:caps/>
                <w:lang w:val="bg-BG"/>
              </w:rPr>
            </w:pPr>
            <w:r w:rsidRPr="00424817">
              <w:rPr>
                <w:caps/>
                <w:sz w:val="22"/>
                <w:szCs w:val="22"/>
                <w:lang w:val="bg-BG"/>
              </w:rPr>
              <w:t>б. разходи, свързани с услуги и доставки (ток, вода и т.н.), данъци и такси, други разходи за управление и поддръжка, които не се поемат от наемателите, такси, свързани с управлението на активите (включително и разходите за управление на Емитента), капиталови разходи направени с приходи от дейността, както и невъзстановяеми разходи)</w:t>
            </w:r>
          </w:p>
        </w:tc>
        <w:tc>
          <w:tcPr>
            <w:tcW w:w="2562" w:type="pct"/>
          </w:tcPr>
          <w:p w14:paraId="102FA61A" w14:textId="05B91059" w:rsidR="00917170" w:rsidRPr="008E3CCC" w:rsidRDefault="00917170" w:rsidP="00180193">
            <w:pPr>
              <w:pStyle w:val="ListParagraph"/>
              <w:ind w:left="0"/>
              <w:jc w:val="both"/>
              <w:rPr>
                <w:lang w:val="bg-BG"/>
              </w:rPr>
            </w:pPr>
            <w:r w:rsidRPr="008E3CCC">
              <w:rPr>
                <w:sz w:val="22"/>
                <w:szCs w:val="22"/>
                <w:lang w:val="bg-BG"/>
              </w:rPr>
              <w:t>Съгласно договорите за наем, оперативните разходи за поддръжка се покриват от наемателите и горепосоченият прогнозен приход представлява Нетният Доход от Наем. Режийните разходи (ток и вода) се префактурират на наемателите. Префактурира се реалното потребление на всеки един наемател. Режийните разходи на общите части са за сметка на Браво Пропърти Фонд АДСИЦ.  Сградата е нова (въведена в експлоатация на 26 март 2019 г.) и всички сградни системи са в гаранция – с оглед на това, капиталови разходи за сметка на Дружеството не се очакват.</w:t>
            </w:r>
          </w:p>
        </w:tc>
      </w:tr>
      <w:tr w:rsidR="00917170" w:rsidRPr="00424817" w14:paraId="674D0B92" w14:textId="77777777">
        <w:tc>
          <w:tcPr>
            <w:tcW w:w="2438" w:type="pct"/>
          </w:tcPr>
          <w:p w14:paraId="23995F17" w14:textId="30D6F986" w:rsidR="00917170" w:rsidRPr="00424817" w:rsidRDefault="00917170" w:rsidP="00180193">
            <w:pPr>
              <w:pStyle w:val="ListParagraph"/>
              <w:ind w:left="0"/>
              <w:rPr>
                <w:b/>
                <w:bCs/>
                <w:caps/>
                <w:lang w:val="bg-BG"/>
              </w:rPr>
            </w:pPr>
            <w:r w:rsidRPr="00424817">
              <w:rPr>
                <w:b/>
                <w:bCs/>
                <w:caps/>
                <w:sz w:val="22"/>
                <w:szCs w:val="22"/>
                <w:lang w:val="bg-BG"/>
              </w:rPr>
              <w:t>в</w:t>
            </w:r>
            <w:r w:rsidR="00613ED9" w:rsidRPr="00424817">
              <w:rPr>
                <w:b/>
                <w:bCs/>
                <w:caps/>
                <w:sz w:val="22"/>
                <w:szCs w:val="22"/>
                <w:lang w:val="bg-BG"/>
              </w:rPr>
              <w:t>.</w:t>
            </w:r>
            <w:r w:rsidRPr="00424817">
              <w:rPr>
                <w:b/>
                <w:bCs/>
                <w:caps/>
                <w:sz w:val="22"/>
                <w:szCs w:val="22"/>
                <w:lang w:val="bg-BG"/>
              </w:rPr>
              <w:t xml:space="preserve"> НЕТен ОПЕРАТИВЕН ДОХОД </w:t>
            </w:r>
          </w:p>
        </w:tc>
        <w:tc>
          <w:tcPr>
            <w:tcW w:w="2562" w:type="pct"/>
          </w:tcPr>
          <w:p w14:paraId="4DE1B797" w14:textId="17E52A06" w:rsidR="00917170" w:rsidRPr="008E3CCC" w:rsidRDefault="008E3CCC" w:rsidP="00180193">
            <w:pPr>
              <w:pStyle w:val="ListParagraph"/>
              <w:ind w:left="0"/>
              <w:jc w:val="both"/>
              <w:rPr>
                <w:lang w:val="bg-BG"/>
              </w:rPr>
            </w:pPr>
            <w:r w:rsidRPr="008E3CCC">
              <w:rPr>
                <w:b/>
                <w:bCs/>
                <w:sz w:val="22"/>
                <w:szCs w:val="22"/>
                <w:lang w:val="bg-BG"/>
              </w:rPr>
              <w:t xml:space="preserve">4 </w:t>
            </w:r>
            <w:r w:rsidRPr="008E3CCC">
              <w:rPr>
                <w:b/>
                <w:bCs/>
                <w:sz w:val="22"/>
                <w:szCs w:val="22"/>
                <w:lang w:val="en-US"/>
              </w:rPr>
              <w:t>007</w:t>
            </w:r>
            <w:r w:rsidRPr="008E3CCC">
              <w:rPr>
                <w:b/>
                <w:bCs/>
                <w:sz w:val="22"/>
                <w:szCs w:val="22"/>
                <w:lang w:val="bg-BG"/>
              </w:rPr>
              <w:t xml:space="preserve"> </w:t>
            </w:r>
            <w:r w:rsidRPr="008E3CCC">
              <w:rPr>
                <w:b/>
                <w:bCs/>
                <w:sz w:val="22"/>
                <w:szCs w:val="22"/>
                <w:lang w:val="en-US"/>
              </w:rPr>
              <w:t xml:space="preserve">381 </w:t>
            </w:r>
            <w:r w:rsidRPr="008E3CCC">
              <w:rPr>
                <w:b/>
                <w:bCs/>
                <w:sz w:val="22"/>
                <w:szCs w:val="22"/>
                <w:lang w:val="bg-BG"/>
              </w:rPr>
              <w:t>лева</w:t>
            </w:r>
          </w:p>
        </w:tc>
      </w:tr>
      <w:tr w:rsidR="00917170" w:rsidRPr="00424817" w14:paraId="1762934A" w14:textId="77777777">
        <w:tc>
          <w:tcPr>
            <w:tcW w:w="2438" w:type="pct"/>
          </w:tcPr>
          <w:p w14:paraId="11C1D993" w14:textId="77777777" w:rsidR="00917170" w:rsidRPr="00424817" w:rsidRDefault="00917170" w:rsidP="00180193">
            <w:pPr>
              <w:pStyle w:val="ListParagraph"/>
              <w:ind w:left="0"/>
              <w:rPr>
                <w:caps/>
                <w:lang w:val="bg-BG"/>
              </w:rPr>
            </w:pPr>
            <w:r w:rsidRPr="00424817">
              <w:rPr>
                <w:b/>
                <w:bCs/>
                <w:caps/>
                <w:sz w:val="22"/>
                <w:szCs w:val="22"/>
                <w:lang w:val="bg-BG"/>
              </w:rPr>
              <w:t xml:space="preserve">РАЗХОДИ ЗА ЛИХВИ ЗА следващите </w:t>
            </w:r>
            <w:r w:rsidRPr="00424817">
              <w:rPr>
                <w:b/>
                <w:bCs/>
                <w:caps/>
                <w:sz w:val="22"/>
                <w:szCs w:val="22"/>
                <w:lang w:val="bg-BG"/>
              </w:rPr>
              <w:lastRenderedPageBreak/>
              <w:t>12 МЕСЕЦА КЪМ (ДАТА НА ОТЧЕТА)</w:t>
            </w:r>
            <w:r w:rsidRPr="00424817">
              <w:rPr>
                <w:caps/>
                <w:sz w:val="22"/>
                <w:szCs w:val="22"/>
                <w:lang w:val="bg-BG"/>
              </w:rPr>
              <w:t xml:space="preserve">  </w:t>
            </w:r>
          </w:p>
        </w:tc>
        <w:tc>
          <w:tcPr>
            <w:tcW w:w="2562" w:type="pct"/>
          </w:tcPr>
          <w:p w14:paraId="54C4A7B4" w14:textId="61AFC29A" w:rsidR="00917170" w:rsidRPr="008E3CCC" w:rsidRDefault="0006502B" w:rsidP="00180193">
            <w:pPr>
              <w:pStyle w:val="ListParagraph"/>
              <w:ind w:left="0"/>
              <w:jc w:val="both"/>
              <w:rPr>
                <w:lang w:val="bg-BG"/>
              </w:rPr>
            </w:pPr>
            <w:r w:rsidRPr="008E3CCC">
              <w:rPr>
                <w:sz w:val="22"/>
                <w:szCs w:val="22"/>
                <w:lang w:val="bg-BG"/>
              </w:rPr>
              <w:lastRenderedPageBreak/>
              <w:t>9</w:t>
            </w:r>
            <w:r w:rsidR="008E3CCC" w:rsidRPr="008E3CCC">
              <w:rPr>
                <w:sz w:val="22"/>
                <w:szCs w:val="22"/>
                <w:lang w:val="en-US"/>
              </w:rPr>
              <w:t>05 561</w:t>
            </w:r>
            <w:r w:rsidRPr="008E3CCC">
              <w:rPr>
                <w:sz w:val="22"/>
                <w:szCs w:val="22"/>
                <w:lang w:val="bg-BG"/>
              </w:rPr>
              <w:t xml:space="preserve"> </w:t>
            </w:r>
            <w:r w:rsidR="00917170" w:rsidRPr="008E3CCC">
              <w:rPr>
                <w:sz w:val="22"/>
                <w:szCs w:val="22"/>
                <w:lang w:val="bg-BG"/>
              </w:rPr>
              <w:t>лева</w:t>
            </w:r>
          </w:p>
        </w:tc>
      </w:tr>
      <w:tr w:rsidR="00917170" w:rsidRPr="00424817" w14:paraId="2B1CD3BB" w14:textId="77777777">
        <w:tc>
          <w:tcPr>
            <w:tcW w:w="2438" w:type="pct"/>
          </w:tcPr>
          <w:p w14:paraId="3BB92AC4" w14:textId="77777777" w:rsidR="00917170" w:rsidRPr="00424817" w:rsidRDefault="00917170" w:rsidP="00180193">
            <w:pPr>
              <w:pStyle w:val="ListParagraph"/>
              <w:ind w:left="0"/>
              <w:rPr>
                <w:caps/>
                <w:lang w:val="bg-BG"/>
              </w:rPr>
            </w:pPr>
            <w:r w:rsidRPr="00424817">
              <w:rPr>
                <w:b/>
                <w:bCs/>
                <w:sz w:val="22"/>
                <w:szCs w:val="22"/>
                <w:lang w:val="bg-BG"/>
              </w:rPr>
              <w:lastRenderedPageBreak/>
              <w:t>КОЕФИЦИЕНТ НА ПОКРИТИЕ НА РАЗХОДИТЕ ЗА ЛИХВИ</w:t>
            </w:r>
            <w:r w:rsidRPr="00424817">
              <w:rPr>
                <w:sz w:val="22"/>
                <w:szCs w:val="22"/>
                <w:lang w:val="bg-BG"/>
              </w:rPr>
              <w:t xml:space="preserve">  </w:t>
            </w:r>
          </w:p>
        </w:tc>
        <w:tc>
          <w:tcPr>
            <w:tcW w:w="2562" w:type="pct"/>
          </w:tcPr>
          <w:p w14:paraId="49AA7379" w14:textId="48B5471A" w:rsidR="00917170" w:rsidRPr="008E3CCC" w:rsidRDefault="009809AC" w:rsidP="00180193">
            <w:pPr>
              <w:pStyle w:val="ListParagraph"/>
              <w:ind w:left="0"/>
              <w:jc w:val="both"/>
              <w:rPr>
                <w:lang w:val="en-US"/>
              </w:rPr>
            </w:pPr>
            <w:r w:rsidRPr="008E3CCC">
              <w:rPr>
                <w:lang w:val="bg-BG"/>
              </w:rPr>
              <w:t>4</w:t>
            </w:r>
            <w:r w:rsidR="00356AE4" w:rsidRPr="008E3CCC">
              <w:rPr>
                <w:lang w:val="bg-BG"/>
              </w:rPr>
              <w:t>.</w:t>
            </w:r>
            <w:r w:rsidR="008E3CCC" w:rsidRPr="008E3CCC">
              <w:rPr>
                <w:lang w:val="en-US"/>
              </w:rPr>
              <w:t>43</w:t>
            </w:r>
          </w:p>
        </w:tc>
      </w:tr>
    </w:tbl>
    <w:p w14:paraId="0BF3808F" w14:textId="77777777" w:rsidR="00917170" w:rsidRPr="00424817" w:rsidRDefault="00917170" w:rsidP="00190247">
      <w:pPr>
        <w:jc w:val="both"/>
        <w:rPr>
          <w:sz w:val="22"/>
          <w:szCs w:val="22"/>
          <w:lang w:val="bg-BG"/>
        </w:rPr>
      </w:pPr>
    </w:p>
    <w:p w14:paraId="17979657" w14:textId="77777777" w:rsidR="00917170" w:rsidRPr="00424817" w:rsidRDefault="00917170" w:rsidP="00190247">
      <w:pPr>
        <w:jc w:val="both"/>
        <w:rPr>
          <w:sz w:val="22"/>
          <w:szCs w:val="22"/>
          <w:lang w:val="bg-BG"/>
        </w:rPr>
      </w:pPr>
    </w:p>
    <w:p w14:paraId="2D6F3769" w14:textId="77777777" w:rsidR="00917170" w:rsidRPr="00424817" w:rsidRDefault="00917170" w:rsidP="001C15B8">
      <w:pPr>
        <w:pStyle w:val="ListParagraph"/>
        <w:numPr>
          <w:ilvl w:val="1"/>
          <w:numId w:val="8"/>
        </w:numPr>
        <w:ind w:left="357" w:hanging="357"/>
        <w:jc w:val="both"/>
        <w:rPr>
          <w:sz w:val="22"/>
          <w:szCs w:val="22"/>
          <w:lang w:val="bg-BG"/>
        </w:rPr>
      </w:pPr>
      <w:r w:rsidRPr="00424817">
        <w:rPr>
          <w:b/>
          <w:bCs/>
          <w:caps/>
          <w:sz w:val="22"/>
          <w:szCs w:val="22"/>
          <w:lang w:val="bg-BG"/>
        </w:rPr>
        <w:t>СЪОТНОШЕНИЕ НА ПАСИВИТЕ КЪМ АКТИВИТЕ КЪМ</w:t>
      </w:r>
      <w:r w:rsidRPr="00424817">
        <w:rPr>
          <w:caps/>
          <w:sz w:val="22"/>
          <w:szCs w:val="22"/>
          <w:lang w:val="bg-BG"/>
        </w:rPr>
        <w:t xml:space="preserve"> - </w:t>
      </w:r>
      <w:r w:rsidRPr="00424817">
        <w:rPr>
          <w:b/>
          <w:bCs/>
          <w:sz w:val="22"/>
          <w:szCs w:val="22"/>
          <w:lang w:val="bg-BG"/>
        </w:rPr>
        <w:t>МАКСИМУМ 75%</w:t>
      </w:r>
      <w:r w:rsidRPr="00424817">
        <w:rPr>
          <w:i/>
          <w:iCs/>
          <w:sz w:val="22"/>
          <w:szCs w:val="22"/>
          <w:lang w:val="bg-BG"/>
        </w:rPr>
        <w:t xml:space="preserve"> - </w:t>
      </w:r>
      <w:r w:rsidRPr="00424817">
        <w:rPr>
          <w:caps/>
          <w:sz w:val="22"/>
          <w:szCs w:val="22"/>
          <w:lang w:val="bg-BG"/>
        </w:rPr>
        <w:t>Общата сума на ПАСИВИТЕ  към общата сума на активите КЪМ (датата на отчета</w:t>
      </w:r>
    </w:p>
    <w:p w14:paraId="1EAD8CA4" w14:textId="77777777" w:rsidR="00917170" w:rsidRPr="00424817" w:rsidRDefault="00917170" w:rsidP="00190247">
      <w:pPr>
        <w:pStyle w:val="ListParagraph"/>
        <w:ind w:left="1080"/>
        <w:jc w:val="both"/>
        <w:rPr>
          <w:sz w:val="22"/>
          <w:szCs w:val="22"/>
          <w:lang w:val="bg-BG"/>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44"/>
      </w:tblGrid>
      <w:tr w:rsidR="00917170" w:rsidRPr="00120305" w14:paraId="193FC4C4" w14:textId="77777777">
        <w:tc>
          <w:tcPr>
            <w:tcW w:w="2500" w:type="pct"/>
          </w:tcPr>
          <w:p w14:paraId="02F92CB9" w14:textId="77777777" w:rsidR="00917170" w:rsidRPr="00CA7FB3" w:rsidRDefault="00917170" w:rsidP="00180193">
            <w:pPr>
              <w:pStyle w:val="ListParagraph"/>
              <w:ind w:left="0"/>
              <w:jc w:val="both"/>
              <w:rPr>
                <w:i/>
                <w:iCs/>
                <w:caps/>
                <w:lang w:val="bg-BG"/>
              </w:rPr>
            </w:pPr>
            <w:r w:rsidRPr="00CA7FB3">
              <w:rPr>
                <w:caps/>
                <w:sz w:val="22"/>
                <w:szCs w:val="22"/>
                <w:lang w:val="bg-BG"/>
              </w:rPr>
              <w:t xml:space="preserve">Общата сума на ПАСИВИТЕ (ПАСИВИ МИНУС СОБСТВЕН КАПИТАЛ) КЪМ  (ДАТА НА ОТЧЕТА) </w:t>
            </w:r>
          </w:p>
        </w:tc>
        <w:tc>
          <w:tcPr>
            <w:tcW w:w="2500" w:type="pct"/>
          </w:tcPr>
          <w:p w14:paraId="2C357114" w14:textId="6540686A" w:rsidR="00917170" w:rsidRPr="00CA7FB3" w:rsidRDefault="00CA7FB3" w:rsidP="00180193">
            <w:pPr>
              <w:pStyle w:val="ListParagraph"/>
              <w:ind w:left="0"/>
              <w:jc w:val="both"/>
              <w:rPr>
                <w:caps/>
                <w:lang w:val="bg-BG"/>
              </w:rPr>
            </w:pPr>
            <w:r w:rsidRPr="00CA7FB3">
              <w:rPr>
                <w:caps/>
                <w:sz w:val="22"/>
                <w:szCs w:val="22"/>
                <w:lang w:val="bg-BG"/>
              </w:rPr>
              <w:t>29 284 000</w:t>
            </w:r>
          </w:p>
        </w:tc>
      </w:tr>
      <w:tr w:rsidR="00917170" w:rsidRPr="00120305" w14:paraId="2F3C6455" w14:textId="77777777">
        <w:tc>
          <w:tcPr>
            <w:tcW w:w="2500" w:type="pct"/>
          </w:tcPr>
          <w:p w14:paraId="3E6C5C09" w14:textId="77777777" w:rsidR="00917170" w:rsidRPr="00CA7FB3" w:rsidRDefault="00917170" w:rsidP="00180193">
            <w:pPr>
              <w:pStyle w:val="ListParagraph"/>
              <w:ind w:left="0"/>
              <w:jc w:val="both"/>
              <w:rPr>
                <w:caps/>
                <w:lang w:val="bg-BG"/>
              </w:rPr>
            </w:pPr>
            <w:r w:rsidRPr="00CA7FB3">
              <w:rPr>
                <w:caps/>
                <w:sz w:val="22"/>
                <w:szCs w:val="22"/>
                <w:lang w:val="bg-BG"/>
              </w:rPr>
              <w:t xml:space="preserve">ОБЩАТА СУМА НА АКТИВИТЕ КЪМ (ДАТА НА ОТЧЕТА)  </w:t>
            </w:r>
          </w:p>
        </w:tc>
        <w:tc>
          <w:tcPr>
            <w:tcW w:w="2500" w:type="pct"/>
          </w:tcPr>
          <w:p w14:paraId="5E138E06" w14:textId="28CD920C" w:rsidR="00917170" w:rsidRPr="00CA7FB3" w:rsidRDefault="00413949" w:rsidP="00180193">
            <w:pPr>
              <w:pStyle w:val="ListParagraph"/>
              <w:ind w:left="0"/>
              <w:jc w:val="both"/>
              <w:rPr>
                <w:caps/>
                <w:lang w:val="en-US"/>
              </w:rPr>
            </w:pPr>
            <w:r w:rsidRPr="00CA7FB3">
              <w:rPr>
                <w:caps/>
                <w:sz w:val="22"/>
                <w:szCs w:val="22"/>
                <w:lang w:val="en-US"/>
              </w:rPr>
              <w:t>6</w:t>
            </w:r>
            <w:r w:rsidR="00CA7FB3">
              <w:rPr>
                <w:caps/>
                <w:sz w:val="22"/>
                <w:szCs w:val="22"/>
                <w:lang w:val="bg-BG"/>
              </w:rPr>
              <w:t>6</w:t>
            </w:r>
            <w:r w:rsidRPr="00CA7FB3">
              <w:rPr>
                <w:caps/>
                <w:sz w:val="22"/>
                <w:szCs w:val="22"/>
                <w:lang w:val="en-US"/>
              </w:rPr>
              <w:t xml:space="preserve"> </w:t>
            </w:r>
            <w:r w:rsidR="00CA7FB3">
              <w:rPr>
                <w:caps/>
                <w:sz w:val="22"/>
                <w:szCs w:val="22"/>
                <w:lang w:val="bg-BG"/>
              </w:rPr>
              <w:t>723</w:t>
            </w:r>
            <w:r w:rsidRPr="00CA7FB3">
              <w:rPr>
                <w:caps/>
                <w:sz w:val="22"/>
                <w:szCs w:val="22"/>
                <w:lang w:val="en-US"/>
              </w:rPr>
              <w:t xml:space="preserve"> 000</w:t>
            </w:r>
          </w:p>
        </w:tc>
      </w:tr>
      <w:tr w:rsidR="00917170" w:rsidRPr="00424817" w14:paraId="7D9DA86C" w14:textId="77777777">
        <w:tc>
          <w:tcPr>
            <w:tcW w:w="2500" w:type="pct"/>
          </w:tcPr>
          <w:p w14:paraId="3AE1D6CA" w14:textId="77777777" w:rsidR="00917170" w:rsidRPr="00CA7FB3" w:rsidRDefault="00917170" w:rsidP="00180193">
            <w:pPr>
              <w:pStyle w:val="ListParagraph"/>
              <w:ind w:left="0"/>
              <w:jc w:val="both"/>
              <w:rPr>
                <w:caps/>
                <w:lang w:val="bg-BG"/>
              </w:rPr>
            </w:pPr>
            <w:r w:rsidRPr="00CA7FB3">
              <w:rPr>
                <w:caps/>
                <w:sz w:val="22"/>
                <w:szCs w:val="22"/>
                <w:lang w:val="bg-BG"/>
              </w:rPr>
              <w:t>СЪОТНОШЕНИЕ ПАСИВИ/АКТИВИ КЪМ (ДАТА НА ОТЧЕТА)</w:t>
            </w:r>
          </w:p>
        </w:tc>
        <w:tc>
          <w:tcPr>
            <w:tcW w:w="2500" w:type="pct"/>
          </w:tcPr>
          <w:p w14:paraId="04F9C8EC" w14:textId="1B7A7DCC" w:rsidR="00917170" w:rsidRPr="00CA7FB3" w:rsidRDefault="006814F6" w:rsidP="00180193">
            <w:pPr>
              <w:pStyle w:val="ListParagraph"/>
              <w:ind w:left="0"/>
              <w:jc w:val="both"/>
              <w:rPr>
                <w:caps/>
                <w:lang w:val="bg-BG"/>
              </w:rPr>
            </w:pPr>
            <w:r w:rsidRPr="00CA7FB3">
              <w:rPr>
                <w:caps/>
                <w:sz w:val="22"/>
                <w:szCs w:val="22"/>
                <w:lang w:val="bg-BG"/>
              </w:rPr>
              <w:t>4</w:t>
            </w:r>
            <w:r w:rsidR="00CA7FB3" w:rsidRPr="00CA7FB3">
              <w:rPr>
                <w:caps/>
                <w:sz w:val="22"/>
                <w:szCs w:val="22"/>
                <w:lang w:val="bg-BG"/>
              </w:rPr>
              <w:t>3.89</w:t>
            </w:r>
            <w:r w:rsidR="00917170" w:rsidRPr="00CA7FB3">
              <w:rPr>
                <w:caps/>
                <w:sz w:val="22"/>
                <w:szCs w:val="22"/>
                <w:lang w:val="bg-BG"/>
              </w:rPr>
              <w:t>%</w:t>
            </w:r>
          </w:p>
        </w:tc>
      </w:tr>
    </w:tbl>
    <w:p w14:paraId="24533B43" w14:textId="77777777" w:rsidR="00917170" w:rsidRPr="00424817" w:rsidRDefault="00917170" w:rsidP="00190247">
      <w:pPr>
        <w:pStyle w:val="ListParagraph"/>
        <w:ind w:left="1080"/>
        <w:jc w:val="both"/>
        <w:rPr>
          <w:caps/>
          <w:sz w:val="22"/>
          <w:szCs w:val="22"/>
          <w:lang w:val="bg-BG"/>
        </w:rPr>
      </w:pPr>
    </w:p>
    <w:p w14:paraId="28152EEA" w14:textId="77777777" w:rsidR="00917170" w:rsidRPr="00424817" w:rsidRDefault="00917170" w:rsidP="00190247">
      <w:pPr>
        <w:pStyle w:val="ListParagraph"/>
        <w:ind w:left="0"/>
        <w:jc w:val="both"/>
        <w:rPr>
          <w:b/>
          <w:bCs/>
          <w:caps/>
          <w:sz w:val="22"/>
          <w:szCs w:val="22"/>
          <w:lang w:val="bg-BG"/>
        </w:rPr>
      </w:pPr>
    </w:p>
    <w:p w14:paraId="4FB59BFA" w14:textId="77777777" w:rsidR="00917170" w:rsidRPr="00424817" w:rsidRDefault="00917170" w:rsidP="001C15B8">
      <w:pPr>
        <w:pStyle w:val="ListParagraph"/>
        <w:numPr>
          <w:ilvl w:val="0"/>
          <w:numId w:val="8"/>
        </w:numPr>
        <w:ind w:left="357" w:hanging="357"/>
        <w:jc w:val="both"/>
        <w:rPr>
          <w:b/>
          <w:bCs/>
          <w:caps/>
          <w:sz w:val="22"/>
          <w:szCs w:val="22"/>
          <w:lang w:val="bg-BG"/>
        </w:rPr>
      </w:pPr>
      <w:r w:rsidRPr="00424817">
        <w:rPr>
          <w:b/>
          <w:bCs/>
          <w:caps/>
          <w:sz w:val="22"/>
          <w:szCs w:val="22"/>
          <w:lang w:val="bg-BG"/>
        </w:rPr>
        <w:t xml:space="preserve">СПАЗВАНЕ НА ДРУГИ ЗАДЪЛЖЕНИЯ </w:t>
      </w:r>
    </w:p>
    <w:p w14:paraId="052D9EEA" w14:textId="77777777" w:rsidR="00917170" w:rsidRPr="00424817" w:rsidRDefault="00917170" w:rsidP="00190247">
      <w:pPr>
        <w:pStyle w:val="ListParagraph"/>
        <w:ind w:left="0"/>
        <w:jc w:val="both"/>
        <w:rPr>
          <w:b/>
          <w:bCs/>
          <w:caps/>
          <w:sz w:val="22"/>
          <w:szCs w:val="22"/>
          <w:lang w:val="bg-BG"/>
        </w:rPr>
      </w:pPr>
    </w:p>
    <w:p w14:paraId="4236295C" w14:textId="77777777" w:rsidR="00917170" w:rsidRPr="00424817" w:rsidRDefault="00917170" w:rsidP="006D5CFD">
      <w:pPr>
        <w:tabs>
          <w:tab w:val="left" w:pos="1080"/>
        </w:tabs>
        <w:spacing w:before="120" w:after="120"/>
        <w:jc w:val="both"/>
        <w:rPr>
          <w:b/>
          <w:bCs/>
          <w:sz w:val="22"/>
          <w:szCs w:val="22"/>
          <w:lang w:val="bg-BG"/>
        </w:rPr>
      </w:pPr>
      <w:r w:rsidRPr="00424817">
        <w:rPr>
          <w:b/>
          <w:bCs/>
          <w:sz w:val="22"/>
          <w:szCs w:val="22"/>
          <w:lang w:val="bg-BG"/>
        </w:rPr>
        <w:t xml:space="preserve">5.1. ЗАДЪЛЖЕНИЯ ОТНОСНО ОТДАВАНЕТО НА ОФИС СГРАДАТА ПОД НАЕМ И ИЗСКВАНИЯТА КЪМ ДОГОВОРИТЕ ЗА НАЕМ </w:t>
      </w:r>
    </w:p>
    <w:p w14:paraId="32DD8AA9" w14:textId="77777777" w:rsidR="00917170" w:rsidRPr="00424817" w:rsidRDefault="00917170" w:rsidP="006D5CFD">
      <w:pPr>
        <w:tabs>
          <w:tab w:val="left" w:pos="1080"/>
        </w:tabs>
        <w:spacing w:before="120" w:after="120"/>
        <w:jc w:val="both"/>
        <w:rPr>
          <w:b/>
          <w:bCs/>
          <w:sz w:val="22"/>
          <w:szCs w:val="22"/>
          <w:lang w:val="bg-BG"/>
        </w:rPr>
      </w:pPr>
      <w:r w:rsidRPr="00424817">
        <w:rPr>
          <w:b/>
          <w:bCs/>
          <w:sz w:val="22"/>
          <w:szCs w:val="22"/>
          <w:lang w:val="bg-BG"/>
        </w:rPr>
        <w:t xml:space="preserve">- Задължение за осигурява наличието на сключени наемни договори за не по-малко 70% от общата площ на сградата, която се отдава по наем, възлизаща на 13 391 кв. м. - информация относно заетостта на сградата. </w:t>
      </w:r>
    </w:p>
    <w:p w14:paraId="781D3FDF" w14:textId="25DF8D7A" w:rsidR="00917170" w:rsidRPr="00424817" w:rsidRDefault="00917170" w:rsidP="006D5CFD">
      <w:pPr>
        <w:tabs>
          <w:tab w:val="left" w:pos="1080"/>
        </w:tabs>
        <w:spacing w:before="120" w:after="120"/>
        <w:jc w:val="both"/>
        <w:rPr>
          <w:sz w:val="22"/>
          <w:szCs w:val="22"/>
          <w:lang w:val="bg-BG"/>
        </w:rPr>
      </w:pPr>
      <w:r w:rsidRPr="00424817">
        <w:rPr>
          <w:sz w:val="22"/>
          <w:szCs w:val="22"/>
          <w:lang w:val="bg-BG"/>
        </w:rPr>
        <w:t xml:space="preserve">Към </w:t>
      </w:r>
      <w:r w:rsidR="00D619F4" w:rsidRPr="00424817">
        <w:rPr>
          <w:sz w:val="22"/>
          <w:szCs w:val="22"/>
          <w:lang w:val="bg-BG"/>
        </w:rPr>
        <w:t>3</w:t>
      </w:r>
      <w:r w:rsidR="00120305" w:rsidRPr="00D1219E">
        <w:rPr>
          <w:sz w:val="22"/>
          <w:szCs w:val="22"/>
          <w:lang w:val="bg-BG"/>
        </w:rPr>
        <w:t>0</w:t>
      </w:r>
      <w:r w:rsidRPr="00424817">
        <w:rPr>
          <w:sz w:val="22"/>
          <w:szCs w:val="22"/>
          <w:lang w:val="bg-BG"/>
        </w:rPr>
        <w:t>.</w:t>
      </w:r>
      <w:r w:rsidR="00B742BC" w:rsidRPr="00D1219E">
        <w:rPr>
          <w:sz w:val="22"/>
          <w:szCs w:val="22"/>
          <w:lang w:val="bg-BG"/>
        </w:rPr>
        <w:t>0</w:t>
      </w:r>
      <w:r w:rsidR="00120305" w:rsidRPr="00D1219E">
        <w:rPr>
          <w:sz w:val="22"/>
          <w:szCs w:val="22"/>
          <w:lang w:val="bg-BG"/>
        </w:rPr>
        <w:t>6</w:t>
      </w:r>
      <w:r w:rsidRPr="00424817">
        <w:rPr>
          <w:sz w:val="22"/>
          <w:szCs w:val="22"/>
          <w:lang w:val="bg-BG"/>
        </w:rPr>
        <w:t>.20</w:t>
      </w:r>
      <w:r w:rsidR="00353E7C" w:rsidRPr="00424817">
        <w:rPr>
          <w:sz w:val="22"/>
          <w:szCs w:val="22"/>
          <w:lang w:val="bg-BG"/>
        </w:rPr>
        <w:t>2</w:t>
      </w:r>
      <w:r w:rsidR="00B742BC" w:rsidRPr="00D1219E">
        <w:rPr>
          <w:sz w:val="22"/>
          <w:szCs w:val="22"/>
          <w:lang w:val="bg-BG"/>
        </w:rPr>
        <w:t>1</w:t>
      </w:r>
      <w:r w:rsidRPr="00424817">
        <w:rPr>
          <w:sz w:val="22"/>
          <w:szCs w:val="22"/>
          <w:lang w:val="bg-BG"/>
        </w:rPr>
        <w:t xml:space="preserve"> г. поетият ангажимент от емитента за сключени наемни договори, не по-малко от 70% от общата площ на сградата е изпълнено.</w:t>
      </w:r>
    </w:p>
    <w:p w14:paraId="66A85477" w14:textId="25B62689" w:rsidR="006949B0" w:rsidRPr="00424817" w:rsidRDefault="00917170" w:rsidP="006D5CFD">
      <w:pPr>
        <w:tabs>
          <w:tab w:val="left" w:pos="1080"/>
        </w:tabs>
        <w:spacing w:before="120" w:after="120"/>
        <w:jc w:val="both"/>
        <w:rPr>
          <w:sz w:val="22"/>
          <w:szCs w:val="22"/>
          <w:lang w:val="bg-BG"/>
        </w:rPr>
      </w:pPr>
      <w:r w:rsidRPr="00424817">
        <w:rPr>
          <w:b/>
          <w:bCs/>
          <w:sz w:val="22"/>
          <w:szCs w:val="22"/>
          <w:lang w:val="bg-BG"/>
        </w:rPr>
        <w:t>Към 3</w:t>
      </w:r>
      <w:r w:rsidR="00120305" w:rsidRPr="00D1219E">
        <w:rPr>
          <w:b/>
          <w:bCs/>
          <w:sz w:val="22"/>
          <w:szCs w:val="22"/>
          <w:lang w:val="bg-BG"/>
        </w:rPr>
        <w:t>0</w:t>
      </w:r>
      <w:r w:rsidRPr="00424817">
        <w:rPr>
          <w:b/>
          <w:bCs/>
          <w:sz w:val="22"/>
          <w:szCs w:val="22"/>
          <w:lang w:val="bg-BG"/>
        </w:rPr>
        <w:t>.</w:t>
      </w:r>
      <w:r w:rsidR="00B742BC" w:rsidRPr="00D1219E">
        <w:rPr>
          <w:b/>
          <w:bCs/>
          <w:sz w:val="22"/>
          <w:szCs w:val="22"/>
          <w:lang w:val="bg-BG"/>
        </w:rPr>
        <w:t>0</w:t>
      </w:r>
      <w:r w:rsidR="00120305" w:rsidRPr="00D1219E">
        <w:rPr>
          <w:b/>
          <w:bCs/>
          <w:sz w:val="22"/>
          <w:szCs w:val="22"/>
          <w:lang w:val="bg-BG"/>
        </w:rPr>
        <w:t>6</w:t>
      </w:r>
      <w:r w:rsidRPr="00424817">
        <w:rPr>
          <w:b/>
          <w:bCs/>
          <w:sz w:val="22"/>
          <w:szCs w:val="22"/>
          <w:lang w:val="bg-BG"/>
        </w:rPr>
        <w:t>.20</w:t>
      </w:r>
      <w:r w:rsidR="00353E7C" w:rsidRPr="00424817">
        <w:rPr>
          <w:b/>
          <w:bCs/>
          <w:sz w:val="22"/>
          <w:szCs w:val="22"/>
          <w:lang w:val="bg-BG"/>
        </w:rPr>
        <w:t>2</w:t>
      </w:r>
      <w:r w:rsidR="00B742BC" w:rsidRPr="00D1219E">
        <w:rPr>
          <w:b/>
          <w:bCs/>
          <w:sz w:val="22"/>
          <w:szCs w:val="22"/>
          <w:lang w:val="bg-BG"/>
        </w:rPr>
        <w:t>1</w:t>
      </w:r>
      <w:r w:rsidRPr="00424817">
        <w:rPr>
          <w:b/>
          <w:bCs/>
          <w:sz w:val="22"/>
          <w:szCs w:val="22"/>
          <w:lang w:val="bg-BG"/>
        </w:rPr>
        <w:t xml:space="preserve"> г. са сключени договори за наем на </w:t>
      </w:r>
      <w:r w:rsidR="008E3CCC" w:rsidRPr="00D1219E">
        <w:rPr>
          <w:b/>
          <w:bCs/>
          <w:sz w:val="22"/>
          <w:szCs w:val="22"/>
          <w:lang w:val="bg-BG"/>
        </w:rPr>
        <w:t>76</w:t>
      </w:r>
      <w:r w:rsidRPr="00424817">
        <w:rPr>
          <w:b/>
          <w:bCs/>
          <w:sz w:val="22"/>
          <w:szCs w:val="22"/>
          <w:lang w:val="bg-BG"/>
        </w:rPr>
        <w:t>% от общата площ на сградата.</w:t>
      </w:r>
      <w:r w:rsidR="00211DC7" w:rsidRPr="00424817">
        <w:rPr>
          <w:sz w:val="22"/>
          <w:szCs w:val="22"/>
          <w:lang w:val="bg-BG"/>
        </w:rPr>
        <w:t xml:space="preserve"> </w:t>
      </w:r>
    </w:p>
    <w:p w14:paraId="43B84379" w14:textId="77777777" w:rsidR="00917170" w:rsidRPr="00424817" w:rsidRDefault="00917170" w:rsidP="006D5CFD">
      <w:pPr>
        <w:tabs>
          <w:tab w:val="left" w:pos="1080"/>
        </w:tabs>
        <w:spacing w:before="120" w:after="120"/>
        <w:jc w:val="both"/>
        <w:rPr>
          <w:sz w:val="22"/>
          <w:szCs w:val="22"/>
          <w:lang w:val="bg-BG"/>
        </w:rPr>
      </w:pPr>
      <w:r w:rsidRPr="00424817">
        <w:rPr>
          <w:b/>
          <w:bCs/>
          <w:sz w:val="22"/>
          <w:szCs w:val="22"/>
          <w:lang w:val="bg-BG"/>
        </w:rPr>
        <w:t>- Спазване на минималните изисквания към договорите за наем на обектите от офис сградата</w:t>
      </w:r>
      <w:r w:rsidRPr="00424817">
        <w:rPr>
          <w:sz w:val="22"/>
          <w:szCs w:val="22"/>
          <w:lang w:val="bg-BG"/>
        </w:rPr>
        <w:t>:</w:t>
      </w:r>
    </w:p>
    <w:p w14:paraId="0F014E14" w14:textId="77777777" w:rsidR="00917170" w:rsidRPr="00424817" w:rsidRDefault="00917170" w:rsidP="006D5CFD">
      <w:pPr>
        <w:tabs>
          <w:tab w:val="left" w:pos="1080"/>
        </w:tabs>
        <w:spacing w:before="120" w:after="120"/>
        <w:jc w:val="both"/>
        <w:rPr>
          <w:sz w:val="22"/>
          <w:szCs w:val="22"/>
          <w:lang w:val="bg-BG"/>
        </w:rPr>
      </w:pPr>
      <w:r w:rsidRPr="00424817">
        <w:rPr>
          <w:sz w:val="22"/>
          <w:szCs w:val="22"/>
          <w:lang w:val="bg-BG"/>
        </w:rPr>
        <w:t>(i) средно претеглен наемен срок за сградата (WAULT) (към датата на издаване на облигацията), изчислен по следната формула:</w:t>
      </w:r>
    </w:p>
    <w:p w14:paraId="401D15EE" w14:textId="77777777" w:rsidR="00917170" w:rsidRPr="00424817" w:rsidRDefault="00917170" w:rsidP="006D5CFD">
      <w:pPr>
        <w:tabs>
          <w:tab w:val="left" w:pos="1080"/>
        </w:tabs>
        <w:spacing w:before="120" w:after="120"/>
        <w:jc w:val="both"/>
        <w:rPr>
          <w:sz w:val="22"/>
          <w:szCs w:val="22"/>
          <w:lang w:val="bg-BG"/>
        </w:rPr>
      </w:pPr>
    </w:p>
    <w:p w14:paraId="36DF1BEF" w14:textId="199DF386" w:rsidR="00917170" w:rsidRPr="00424817" w:rsidRDefault="002C11ED" w:rsidP="00EE6E4D">
      <w:pPr>
        <w:tabs>
          <w:tab w:val="left" w:pos="1080"/>
        </w:tabs>
        <w:spacing w:before="120" w:after="120"/>
        <w:jc w:val="both"/>
        <w:rPr>
          <w:sz w:val="22"/>
          <w:szCs w:val="22"/>
          <w:lang w:val="bg-BG"/>
        </w:rPr>
      </w:pPr>
      <w:r w:rsidRPr="00424817">
        <w:rPr>
          <w:noProof/>
          <w:lang w:val="bg-BG"/>
        </w:rPr>
        <w:drawing>
          <wp:inline distT="0" distB="0" distL="0" distR="0" wp14:anchorId="3FFE6BD1" wp14:editId="6F85E92B">
            <wp:extent cx="6360459" cy="32766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360459" cy="327660"/>
                    </a:xfrm>
                    <a:prstGeom prst="rect">
                      <a:avLst/>
                    </a:prstGeom>
                    <a:noFill/>
                    <a:ln>
                      <a:noFill/>
                    </a:ln>
                  </pic:spPr>
                </pic:pic>
              </a:graphicData>
            </a:graphic>
          </wp:inline>
        </w:drawing>
      </w:r>
    </w:p>
    <w:p w14:paraId="283F7CD0" w14:textId="77777777" w:rsidR="00917170" w:rsidRPr="00424817" w:rsidRDefault="00917170" w:rsidP="006D5CFD">
      <w:pPr>
        <w:tabs>
          <w:tab w:val="left" w:pos="1080"/>
        </w:tabs>
        <w:spacing w:before="120" w:after="120"/>
        <w:jc w:val="both"/>
        <w:rPr>
          <w:sz w:val="22"/>
          <w:szCs w:val="22"/>
          <w:lang w:val="bg-BG"/>
        </w:rPr>
      </w:pPr>
    </w:p>
    <w:p w14:paraId="26A3FB00" w14:textId="77777777" w:rsidR="00917170" w:rsidRPr="00424817" w:rsidRDefault="00917170" w:rsidP="00EE6E4D">
      <w:pPr>
        <w:tabs>
          <w:tab w:val="left" w:pos="1080"/>
        </w:tabs>
        <w:spacing w:before="120" w:after="120"/>
        <w:jc w:val="both"/>
        <w:rPr>
          <w:sz w:val="22"/>
          <w:szCs w:val="22"/>
          <w:lang w:val="bg-BG"/>
        </w:rPr>
      </w:pPr>
      <w:r w:rsidRPr="00424817">
        <w:rPr>
          <w:sz w:val="22"/>
          <w:szCs w:val="22"/>
          <w:lang w:val="bg-BG"/>
        </w:rPr>
        <w:t xml:space="preserve">където i са наематели в офис сградата, не по-кратък от 5 години на договорения наемен срок от страна на наемателите. </w:t>
      </w:r>
      <w:r w:rsidRPr="00424817">
        <w:rPr>
          <w:b/>
          <w:bCs/>
          <w:sz w:val="22"/>
          <w:szCs w:val="22"/>
          <w:lang w:val="bg-BG"/>
        </w:rPr>
        <w:t>Към датата на издаване на облигацията този срок е 5.9 години.</w:t>
      </w:r>
      <w:r w:rsidRPr="00424817">
        <w:rPr>
          <w:sz w:val="22"/>
          <w:szCs w:val="22"/>
          <w:lang w:val="bg-BG"/>
        </w:rPr>
        <w:t xml:space="preserve">(ii) сключените договори за наем следва да осигуряват минимална средно претеглена през площите наемна цена от: </w:t>
      </w:r>
    </w:p>
    <w:p w14:paraId="7BE0F4C1" w14:textId="5BB944E9" w:rsidR="00917170" w:rsidRPr="00424817" w:rsidRDefault="00917170" w:rsidP="00EE6E4D">
      <w:pPr>
        <w:tabs>
          <w:tab w:val="left" w:pos="1080"/>
        </w:tabs>
        <w:spacing w:before="120" w:after="120"/>
        <w:jc w:val="both"/>
        <w:rPr>
          <w:sz w:val="22"/>
          <w:szCs w:val="22"/>
          <w:lang w:val="bg-BG"/>
        </w:rPr>
      </w:pPr>
      <w:r w:rsidRPr="00424817">
        <w:rPr>
          <w:sz w:val="22"/>
          <w:szCs w:val="22"/>
          <w:lang w:val="bg-BG"/>
        </w:rPr>
        <w:t xml:space="preserve">(а) за отдаваема под наем офисна площ - EUR 12 на кв. м., изчислявана като сумата от наемните цени по договорите за наем се раздели на сумата от отдадените под наем офисни площи, възлизащи на 12 618 кв.м. </w:t>
      </w:r>
      <w:r w:rsidRPr="00424817">
        <w:rPr>
          <w:b/>
          <w:bCs/>
          <w:sz w:val="22"/>
          <w:szCs w:val="22"/>
          <w:lang w:val="bg-BG"/>
        </w:rPr>
        <w:t xml:space="preserve">Към </w:t>
      </w:r>
      <w:r w:rsidR="00B70622" w:rsidRPr="00424817">
        <w:rPr>
          <w:b/>
          <w:bCs/>
          <w:sz w:val="22"/>
          <w:szCs w:val="22"/>
          <w:lang w:val="bg-BG"/>
        </w:rPr>
        <w:t>3</w:t>
      </w:r>
      <w:r w:rsidR="00120305" w:rsidRPr="00D1219E">
        <w:rPr>
          <w:b/>
          <w:bCs/>
          <w:sz w:val="22"/>
          <w:szCs w:val="22"/>
          <w:lang w:val="bg-BG"/>
        </w:rPr>
        <w:t>0</w:t>
      </w:r>
      <w:r w:rsidRPr="00424817">
        <w:rPr>
          <w:b/>
          <w:bCs/>
          <w:sz w:val="22"/>
          <w:szCs w:val="22"/>
          <w:lang w:val="bg-BG"/>
        </w:rPr>
        <w:t>.</w:t>
      </w:r>
      <w:r w:rsidR="00B742BC" w:rsidRPr="00D1219E">
        <w:rPr>
          <w:b/>
          <w:bCs/>
          <w:sz w:val="22"/>
          <w:szCs w:val="22"/>
          <w:lang w:val="bg-BG"/>
        </w:rPr>
        <w:t>0</w:t>
      </w:r>
      <w:r w:rsidR="00120305" w:rsidRPr="00D1219E">
        <w:rPr>
          <w:b/>
          <w:bCs/>
          <w:sz w:val="22"/>
          <w:szCs w:val="22"/>
          <w:lang w:val="bg-BG"/>
        </w:rPr>
        <w:t>6</w:t>
      </w:r>
      <w:r w:rsidRPr="00424817">
        <w:rPr>
          <w:b/>
          <w:bCs/>
          <w:sz w:val="22"/>
          <w:szCs w:val="22"/>
          <w:lang w:val="bg-BG"/>
        </w:rPr>
        <w:t>.20</w:t>
      </w:r>
      <w:r w:rsidR="00353E7C" w:rsidRPr="00424817">
        <w:rPr>
          <w:b/>
          <w:bCs/>
          <w:sz w:val="22"/>
          <w:szCs w:val="22"/>
          <w:lang w:val="bg-BG"/>
        </w:rPr>
        <w:t>2</w:t>
      </w:r>
      <w:r w:rsidR="00B742BC" w:rsidRPr="00D1219E">
        <w:rPr>
          <w:b/>
          <w:bCs/>
          <w:sz w:val="22"/>
          <w:szCs w:val="22"/>
          <w:lang w:val="bg-BG"/>
        </w:rPr>
        <w:t>1</w:t>
      </w:r>
      <w:r w:rsidRPr="00424817">
        <w:rPr>
          <w:b/>
          <w:bCs/>
          <w:sz w:val="22"/>
          <w:szCs w:val="22"/>
          <w:lang w:val="bg-BG"/>
        </w:rPr>
        <w:t xml:space="preserve"> г. тази наемна цена е </w:t>
      </w:r>
      <w:r w:rsidRPr="00424817">
        <w:rPr>
          <w:b/>
          <w:bCs/>
          <w:sz w:val="22"/>
          <w:szCs w:val="22"/>
          <w:lang w:val="en-US"/>
        </w:rPr>
        <w:t>EUR</w:t>
      </w:r>
      <w:r w:rsidRPr="00424817">
        <w:rPr>
          <w:b/>
          <w:bCs/>
          <w:sz w:val="22"/>
          <w:szCs w:val="22"/>
          <w:lang w:val="bg-BG"/>
        </w:rPr>
        <w:t xml:space="preserve"> 13.50 на кв. м.</w:t>
      </w:r>
    </w:p>
    <w:p w14:paraId="001A9471" w14:textId="5A86ADA7" w:rsidR="00917170" w:rsidRPr="00424817" w:rsidRDefault="00917170" w:rsidP="00EE6E4D">
      <w:pPr>
        <w:tabs>
          <w:tab w:val="left" w:pos="1080"/>
        </w:tabs>
        <w:spacing w:before="120" w:after="120"/>
        <w:jc w:val="both"/>
        <w:rPr>
          <w:sz w:val="22"/>
          <w:szCs w:val="22"/>
          <w:lang w:val="bg-BG"/>
        </w:rPr>
      </w:pPr>
      <w:r w:rsidRPr="00424817">
        <w:rPr>
          <w:sz w:val="22"/>
          <w:szCs w:val="22"/>
          <w:lang w:val="bg-BG"/>
        </w:rPr>
        <w:t xml:space="preserve">(б) за отдаваема под наем площ на партерния етаж (ресторанти и др.) - EUR 9 на кв.м., изчислявана като сумата от наемните цени по договорите за наем се раздели на отдаваемата под наем площ на партерния етаж (ресторанти и др.), която възлиза на 773 кв.м. </w:t>
      </w:r>
      <w:r w:rsidRPr="00424817">
        <w:rPr>
          <w:b/>
          <w:bCs/>
          <w:sz w:val="22"/>
          <w:szCs w:val="22"/>
          <w:lang w:val="bg-BG"/>
        </w:rPr>
        <w:t xml:space="preserve">Към </w:t>
      </w:r>
      <w:r w:rsidR="00B70622" w:rsidRPr="00424817">
        <w:rPr>
          <w:b/>
          <w:bCs/>
          <w:sz w:val="22"/>
          <w:szCs w:val="22"/>
          <w:lang w:val="bg-BG"/>
        </w:rPr>
        <w:t>3</w:t>
      </w:r>
      <w:r w:rsidR="00120305" w:rsidRPr="00D1219E">
        <w:rPr>
          <w:b/>
          <w:bCs/>
          <w:sz w:val="22"/>
          <w:szCs w:val="22"/>
          <w:lang w:val="bg-BG"/>
        </w:rPr>
        <w:t>0</w:t>
      </w:r>
      <w:r w:rsidRPr="00424817">
        <w:rPr>
          <w:b/>
          <w:bCs/>
          <w:sz w:val="22"/>
          <w:szCs w:val="22"/>
          <w:lang w:val="bg-BG"/>
        </w:rPr>
        <w:t>.</w:t>
      </w:r>
      <w:r w:rsidR="00B742BC" w:rsidRPr="00D1219E">
        <w:rPr>
          <w:b/>
          <w:bCs/>
          <w:sz w:val="22"/>
          <w:szCs w:val="22"/>
          <w:lang w:val="bg-BG"/>
        </w:rPr>
        <w:t>0</w:t>
      </w:r>
      <w:r w:rsidR="00120305" w:rsidRPr="00D1219E">
        <w:rPr>
          <w:b/>
          <w:bCs/>
          <w:sz w:val="22"/>
          <w:szCs w:val="22"/>
          <w:lang w:val="bg-BG"/>
        </w:rPr>
        <w:t>6</w:t>
      </w:r>
      <w:r w:rsidRPr="00424817">
        <w:rPr>
          <w:b/>
          <w:bCs/>
          <w:sz w:val="22"/>
          <w:szCs w:val="22"/>
          <w:lang w:val="bg-BG"/>
        </w:rPr>
        <w:t>.20</w:t>
      </w:r>
      <w:r w:rsidR="00353E7C" w:rsidRPr="00424817">
        <w:rPr>
          <w:b/>
          <w:bCs/>
          <w:sz w:val="22"/>
          <w:szCs w:val="22"/>
          <w:lang w:val="bg-BG"/>
        </w:rPr>
        <w:t>2</w:t>
      </w:r>
      <w:r w:rsidR="00B742BC" w:rsidRPr="00D1219E">
        <w:rPr>
          <w:b/>
          <w:bCs/>
          <w:sz w:val="22"/>
          <w:szCs w:val="22"/>
          <w:lang w:val="bg-BG"/>
        </w:rPr>
        <w:t>1</w:t>
      </w:r>
      <w:r w:rsidRPr="00424817">
        <w:rPr>
          <w:b/>
          <w:bCs/>
          <w:sz w:val="22"/>
          <w:szCs w:val="22"/>
          <w:lang w:val="bg-BG"/>
        </w:rPr>
        <w:t xml:space="preserve"> г. тази наемна цена е </w:t>
      </w:r>
      <w:r w:rsidRPr="00424817">
        <w:rPr>
          <w:b/>
          <w:bCs/>
          <w:sz w:val="22"/>
          <w:szCs w:val="22"/>
          <w:lang w:val="en-US"/>
        </w:rPr>
        <w:t>EUR</w:t>
      </w:r>
      <w:r w:rsidRPr="00424817">
        <w:rPr>
          <w:b/>
          <w:bCs/>
          <w:sz w:val="22"/>
          <w:szCs w:val="22"/>
          <w:lang w:val="bg-BG"/>
        </w:rPr>
        <w:t xml:space="preserve"> 10 на кв. м.</w:t>
      </w:r>
    </w:p>
    <w:p w14:paraId="16BD5E23" w14:textId="5F7CA0D7" w:rsidR="00917170" w:rsidRPr="00B742BC" w:rsidRDefault="00917170" w:rsidP="00EE6E4D">
      <w:pPr>
        <w:tabs>
          <w:tab w:val="left" w:pos="1080"/>
        </w:tabs>
        <w:spacing w:before="120" w:after="120"/>
        <w:jc w:val="both"/>
        <w:rPr>
          <w:lang w:val="bg-BG"/>
        </w:rPr>
      </w:pPr>
      <w:r w:rsidRPr="00424817">
        <w:rPr>
          <w:sz w:val="22"/>
          <w:szCs w:val="22"/>
          <w:lang w:val="bg-BG"/>
        </w:rPr>
        <w:lastRenderedPageBreak/>
        <w:t xml:space="preserve">(iii) </w:t>
      </w:r>
      <w:r w:rsidRPr="00B742BC">
        <w:rPr>
          <w:lang w:val="bg-BG"/>
        </w:rPr>
        <w:t xml:space="preserve">наемателят по всеки договор за наем да е предоставил гаранция в полза на Емитента, обезпечаваща задълженията (наемна цена и такса за поддръжка) на наемателя за поне 3 месеца за офис етажите и 2 месеца за партерния етаж под формата на банкова гаранция, корпоративна гаранция и/или паричен депозит. </w:t>
      </w:r>
      <w:r w:rsidR="00147989" w:rsidRPr="00B742BC">
        <w:rPr>
          <w:lang w:val="bg-BG"/>
        </w:rPr>
        <w:t>При подписването на договори за наем в</w:t>
      </w:r>
      <w:r w:rsidR="00147989" w:rsidRPr="00B742BC">
        <w:rPr>
          <w:color w:val="000000"/>
          <w:lang w:val="bg-BG"/>
        </w:rPr>
        <w:t>сички наематели са внесли 100% от дължимата гаранция и са длъжни да поддържат същата в пълен размер. Ако към датата на настоящия отчет има каквито и било усвоявания, същите ще бъдат възстановени от наемателите до пълния размер на съответната гаранция в кратки срокове.</w:t>
      </w:r>
    </w:p>
    <w:p w14:paraId="79D12933" w14:textId="77777777" w:rsidR="00917170" w:rsidRPr="00424817" w:rsidRDefault="00917170" w:rsidP="00EE6E4D">
      <w:pPr>
        <w:tabs>
          <w:tab w:val="left" w:pos="1080"/>
        </w:tabs>
        <w:spacing w:before="120" w:after="120"/>
        <w:jc w:val="both"/>
        <w:rPr>
          <w:sz w:val="22"/>
          <w:szCs w:val="22"/>
          <w:lang w:val="bg-BG"/>
        </w:rPr>
      </w:pPr>
      <w:r w:rsidRPr="00424817">
        <w:rPr>
          <w:sz w:val="22"/>
          <w:szCs w:val="22"/>
          <w:lang w:val="bg-BG"/>
        </w:rPr>
        <w:t xml:space="preserve">(iv) да е уговорено поне 6 месечно предизвестие за (упражняване на опция за) прекратяване или за подновяване/продължаване на договора за наем; </w:t>
      </w:r>
      <w:r w:rsidRPr="00424817">
        <w:rPr>
          <w:b/>
          <w:bCs/>
          <w:sz w:val="22"/>
          <w:szCs w:val="22"/>
          <w:lang w:val="bg-BG"/>
        </w:rPr>
        <w:t>Съгласно договорите за наем, всички наематели дължат предизвестие от поне една година преди упражняване на правото за прекратяване (след изтичане на непрекъсваемия срок).</w:t>
      </w:r>
    </w:p>
    <w:p w14:paraId="6826727B" w14:textId="77777777" w:rsidR="00917170" w:rsidRPr="00424817" w:rsidRDefault="00917170" w:rsidP="00EE6E4D">
      <w:pPr>
        <w:tabs>
          <w:tab w:val="left" w:pos="1080"/>
        </w:tabs>
        <w:spacing w:before="120" w:after="120"/>
        <w:jc w:val="both"/>
        <w:rPr>
          <w:b/>
          <w:bCs/>
          <w:sz w:val="22"/>
          <w:szCs w:val="22"/>
          <w:lang w:val="bg-BG"/>
        </w:rPr>
      </w:pPr>
      <w:r w:rsidRPr="00424817">
        <w:rPr>
          <w:sz w:val="22"/>
          <w:szCs w:val="22"/>
          <w:lang w:val="bg-BG"/>
        </w:rPr>
        <w:t xml:space="preserve">(v) всички наематели следва да бъдат уведомени за промяната на собствеността и за новата сметка на Емитента, по която да насочват дължимите суми по договорите за наем, в срок до 15 дни от сключване на окончателен договор за покупко-продажба на Имотите. </w:t>
      </w:r>
      <w:r w:rsidRPr="00424817">
        <w:rPr>
          <w:b/>
          <w:bCs/>
          <w:sz w:val="22"/>
          <w:szCs w:val="22"/>
          <w:lang w:val="bg-BG"/>
        </w:rPr>
        <w:t>Всички наематели са писмено уведомени за горното.</w:t>
      </w:r>
    </w:p>
    <w:p w14:paraId="3DAB0627" w14:textId="77777777" w:rsidR="00230BB4" w:rsidRPr="00424817" w:rsidRDefault="00230BB4" w:rsidP="00230BB4">
      <w:pPr>
        <w:ind w:left="4245"/>
        <w:rPr>
          <w:b/>
          <w:bCs/>
          <w:caps/>
          <w:sz w:val="22"/>
          <w:szCs w:val="22"/>
          <w:lang w:val="bg-BG"/>
        </w:rPr>
      </w:pPr>
    </w:p>
    <w:p w14:paraId="6118F177" w14:textId="77777777" w:rsidR="00230BB4" w:rsidRPr="00424817" w:rsidRDefault="00230BB4" w:rsidP="00230BB4">
      <w:pPr>
        <w:ind w:left="4245"/>
        <w:rPr>
          <w:b/>
          <w:bCs/>
          <w:caps/>
          <w:sz w:val="22"/>
          <w:szCs w:val="22"/>
          <w:lang w:val="bg-BG"/>
        </w:rPr>
      </w:pPr>
    </w:p>
    <w:p w14:paraId="7A1B7FEA" w14:textId="77777777" w:rsidR="00230BB4" w:rsidRPr="00424817" w:rsidRDefault="00230BB4" w:rsidP="00230BB4">
      <w:pPr>
        <w:ind w:left="4245"/>
        <w:rPr>
          <w:b/>
          <w:bCs/>
          <w:caps/>
          <w:sz w:val="22"/>
          <w:szCs w:val="22"/>
          <w:lang w:val="bg-BG"/>
        </w:rPr>
      </w:pPr>
    </w:p>
    <w:p w14:paraId="5FC372CC" w14:textId="77777777" w:rsidR="006A35B7" w:rsidRDefault="006A35B7" w:rsidP="00230BB4">
      <w:pPr>
        <w:ind w:left="4245"/>
        <w:rPr>
          <w:b/>
          <w:bCs/>
          <w:caps/>
          <w:sz w:val="22"/>
          <w:szCs w:val="22"/>
          <w:lang w:val="bg-BG"/>
        </w:rPr>
      </w:pPr>
    </w:p>
    <w:p w14:paraId="75551E80" w14:textId="77777777" w:rsidR="006A35B7" w:rsidRDefault="006A35B7" w:rsidP="00230BB4">
      <w:pPr>
        <w:ind w:left="4245"/>
        <w:rPr>
          <w:b/>
          <w:bCs/>
          <w:caps/>
          <w:sz w:val="22"/>
          <w:szCs w:val="22"/>
          <w:lang w:val="bg-BG"/>
        </w:rPr>
      </w:pPr>
    </w:p>
    <w:p w14:paraId="117F7EFE" w14:textId="77777777" w:rsidR="006A35B7" w:rsidRDefault="006A35B7" w:rsidP="00230BB4">
      <w:pPr>
        <w:ind w:left="4245"/>
        <w:rPr>
          <w:b/>
          <w:bCs/>
          <w:caps/>
          <w:sz w:val="22"/>
          <w:szCs w:val="22"/>
          <w:lang w:val="bg-BG"/>
        </w:rPr>
      </w:pPr>
    </w:p>
    <w:p w14:paraId="6430C1FB" w14:textId="77777777" w:rsidR="006A35B7" w:rsidRDefault="006A35B7" w:rsidP="00230BB4">
      <w:pPr>
        <w:ind w:left="4245"/>
        <w:rPr>
          <w:b/>
          <w:bCs/>
          <w:caps/>
          <w:sz w:val="22"/>
          <w:szCs w:val="22"/>
          <w:lang w:val="bg-BG"/>
        </w:rPr>
      </w:pPr>
    </w:p>
    <w:p w14:paraId="53B1CA7C" w14:textId="63378687" w:rsidR="004A7ABE" w:rsidRPr="00424817" w:rsidRDefault="004A7ABE" w:rsidP="00230BB4">
      <w:pPr>
        <w:ind w:left="4245"/>
        <w:rPr>
          <w:b/>
          <w:bCs/>
          <w:caps/>
          <w:sz w:val="22"/>
          <w:szCs w:val="22"/>
          <w:lang w:val="bg-BG"/>
        </w:rPr>
      </w:pPr>
      <w:r w:rsidRPr="00424817">
        <w:rPr>
          <w:b/>
          <w:bCs/>
          <w:caps/>
          <w:sz w:val="22"/>
          <w:szCs w:val="22"/>
          <w:lang w:val="bg-BG"/>
        </w:rPr>
        <w:t xml:space="preserve">Асен Лисев – изпълнителен директор на </w:t>
      </w:r>
    </w:p>
    <w:p w14:paraId="4FEF1765" w14:textId="1D540CD0" w:rsidR="004A7ABE" w:rsidRPr="00E27954" w:rsidRDefault="00D1219E" w:rsidP="004A7ABE">
      <w:pPr>
        <w:tabs>
          <w:tab w:val="left" w:pos="1793"/>
        </w:tabs>
        <w:rPr>
          <w:b/>
          <w:bCs/>
          <w:sz w:val="22"/>
          <w:szCs w:val="22"/>
          <w:lang w:val="bg-BG"/>
        </w:rPr>
      </w:pPr>
      <w:proofErr w:type="gramStart"/>
      <w:r>
        <w:rPr>
          <w:b/>
          <w:bCs/>
          <w:sz w:val="22"/>
          <w:szCs w:val="22"/>
          <w:lang w:val="en-US"/>
        </w:rPr>
        <w:t>29</w:t>
      </w:r>
      <w:bookmarkStart w:id="3" w:name="_GoBack"/>
      <w:bookmarkEnd w:id="3"/>
      <w:r w:rsidR="00FD20B4">
        <w:rPr>
          <w:b/>
          <w:bCs/>
          <w:sz w:val="22"/>
          <w:szCs w:val="22"/>
          <w:lang w:val="bg-BG"/>
        </w:rPr>
        <w:t>.0</w:t>
      </w:r>
      <w:r w:rsidR="00E12F1D">
        <w:rPr>
          <w:b/>
          <w:bCs/>
          <w:sz w:val="22"/>
          <w:szCs w:val="22"/>
          <w:lang w:val="en-US"/>
        </w:rPr>
        <w:t>7</w:t>
      </w:r>
      <w:r w:rsidR="004A7ABE" w:rsidRPr="00424817">
        <w:rPr>
          <w:b/>
          <w:bCs/>
          <w:sz w:val="22"/>
          <w:szCs w:val="22"/>
          <w:lang w:val="bg-BG"/>
        </w:rPr>
        <w:t>.20</w:t>
      </w:r>
      <w:r w:rsidR="006F0538" w:rsidRPr="00424817">
        <w:rPr>
          <w:b/>
          <w:bCs/>
          <w:sz w:val="22"/>
          <w:szCs w:val="22"/>
          <w:lang w:val="bg-BG"/>
        </w:rPr>
        <w:t>2</w:t>
      </w:r>
      <w:r w:rsidR="003009E4">
        <w:rPr>
          <w:b/>
          <w:bCs/>
          <w:sz w:val="22"/>
          <w:szCs w:val="22"/>
          <w:lang w:val="bg-BG"/>
        </w:rPr>
        <w:t>1</w:t>
      </w:r>
      <w:r w:rsidR="004A7ABE" w:rsidRPr="00424817">
        <w:rPr>
          <w:b/>
          <w:bCs/>
          <w:sz w:val="22"/>
          <w:szCs w:val="22"/>
          <w:lang w:val="bg-BG"/>
        </w:rPr>
        <w:t xml:space="preserve"> г.</w:t>
      </w:r>
      <w:proofErr w:type="gramEnd"/>
      <w:r w:rsidR="004A7ABE" w:rsidRPr="00424817">
        <w:rPr>
          <w:sz w:val="22"/>
          <w:szCs w:val="22"/>
          <w:lang w:val="bg-BG"/>
        </w:rPr>
        <w:t xml:space="preserve">                                             </w:t>
      </w:r>
      <w:r w:rsidR="00FE458F">
        <w:rPr>
          <w:sz w:val="22"/>
          <w:szCs w:val="22"/>
          <w:lang w:val="bg-BG"/>
        </w:rPr>
        <w:t xml:space="preserve">      </w:t>
      </w:r>
      <w:r w:rsidR="00B742BC">
        <w:rPr>
          <w:sz w:val="22"/>
          <w:szCs w:val="22"/>
          <w:lang w:val="en-US"/>
        </w:rPr>
        <w:t xml:space="preserve">   </w:t>
      </w:r>
      <w:r w:rsidR="004A7ABE" w:rsidRPr="00424817">
        <w:rPr>
          <w:b/>
          <w:bCs/>
          <w:sz w:val="22"/>
          <w:szCs w:val="22"/>
          <w:lang w:val="bg-BG"/>
        </w:rPr>
        <w:t>„БРАВО ПРОПЪРТИ ФОНД“ АДСИЦ</w:t>
      </w:r>
    </w:p>
    <w:p w14:paraId="5F42478A" w14:textId="34D99038" w:rsidR="004A7ABE" w:rsidRPr="004A7ABE" w:rsidRDefault="004A7ABE" w:rsidP="004A7ABE">
      <w:pPr>
        <w:tabs>
          <w:tab w:val="left" w:pos="1793"/>
        </w:tabs>
        <w:rPr>
          <w:sz w:val="22"/>
          <w:szCs w:val="22"/>
          <w:lang w:val="bg-BG"/>
        </w:rPr>
      </w:pPr>
      <w:r>
        <w:rPr>
          <w:sz w:val="22"/>
          <w:szCs w:val="22"/>
          <w:lang w:val="bg-BG"/>
        </w:rPr>
        <w:tab/>
      </w:r>
      <w:r>
        <w:rPr>
          <w:sz w:val="22"/>
          <w:szCs w:val="22"/>
          <w:lang w:val="bg-BG"/>
        </w:rPr>
        <w:tab/>
      </w:r>
      <w:r>
        <w:rPr>
          <w:sz w:val="22"/>
          <w:szCs w:val="22"/>
          <w:lang w:val="bg-BG"/>
        </w:rPr>
        <w:tab/>
      </w:r>
      <w:r>
        <w:rPr>
          <w:sz w:val="22"/>
          <w:szCs w:val="22"/>
          <w:lang w:val="bg-BG"/>
        </w:rPr>
        <w:tab/>
      </w:r>
      <w:r>
        <w:rPr>
          <w:sz w:val="22"/>
          <w:szCs w:val="22"/>
          <w:lang w:val="bg-BG"/>
        </w:rPr>
        <w:tab/>
      </w:r>
      <w:r>
        <w:rPr>
          <w:sz w:val="22"/>
          <w:szCs w:val="22"/>
          <w:lang w:val="bg-BG"/>
        </w:rPr>
        <w:tab/>
      </w:r>
      <w:r>
        <w:rPr>
          <w:sz w:val="22"/>
          <w:szCs w:val="22"/>
          <w:lang w:val="bg-BG"/>
        </w:rPr>
        <w:tab/>
      </w:r>
    </w:p>
    <w:sectPr w:rsidR="004A7ABE" w:rsidRPr="004A7ABE" w:rsidSect="00B7475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2AFEA7" w14:textId="77777777" w:rsidR="009024D5" w:rsidRDefault="009024D5" w:rsidP="00F532C2">
      <w:r>
        <w:separator/>
      </w:r>
    </w:p>
  </w:endnote>
  <w:endnote w:type="continuationSeparator" w:id="0">
    <w:p w14:paraId="1607DCC5" w14:textId="77777777" w:rsidR="009024D5" w:rsidRDefault="009024D5" w:rsidP="00F53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4p">
    <w:altName w:val="Arial"/>
    <w:panose1 w:val="00000000000000000000"/>
    <w:charset w:val="00"/>
    <w:family w:val="roman"/>
    <w:notTrueType/>
    <w:pitch w:val="default"/>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C3252" w14:textId="77777777" w:rsidR="00917170" w:rsidRDefault="002F33DB">
    <w:pPr>
      <w:pStyle w:val="Footer"/>
      <w:jc w:val="center"/>
    </w:pPr>
    <w:r>
      <w:rPr>
        <w:noProof/>
      </w:rPr>
      <w:t>7</w:t>
    </w:r>
  </w:p>
  <w:p w14:paraId="1E3369E1" w14:textId="77777777" w:rsidR="00917170" w:rsidRDefault="009171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85761A" w14:textId="77777777" w:rsidR="009024D5" w:rsidRDefault="009024D5" w:rsidP="00F532C2">
      <w:r>
        <w:separator/>
      </w:r>
    </w:p>
  </w:footnote>
  <w:footnote w:type="continuationSeparator" w:id="0">
    <w:p w14:paraId="71ADB153" w14:textId="77777777" w:rsidR="009024D5" w:rsidRDefault="009024D5" w:rsidP="00F532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011B"/>
    <w:multiLevelType w:val="multilevel"/>
    <w:tmpl w:val="72720824"/>
    <w:lvl w:ilvl="0">
      <w:start w:val="1"/>
      <w:numFmt w:val="decimal"/>
      <w:lvlText w:val="%1."/>
      <w:lvlJc w:val="left"/>
      <w:pPr>
        <w:tabs>
          <w:tab w:val="num" w:pos="966"/>
        </w:tabs>
        <w:ind w:left="966" w:hanging="540"/>
      </w:pPr>
      <w:rPr>
        <w:rFonts w:ascii="Times New Roman" w:hAnsi="Times New Roman" w:cs="Times New Roman" w:hint="default"/>
        <w:b/>
        <w:bCs/>
        <w:color w:val="auto"/>
        <w:sz w:val="20"/>
        <w:szCs w:val="20"/>
      </w:rPr>
    </w:lvl>
    <w:lvl w:ilvl="1">
      <w:start w:val="2"/>
      <w:numFmt w:val="decimal"/>
      <w:lvlText w:val="%1.%2."/>
      <w:lvlJc w:val="left"/>
      <w:pPr>
        <w:tabs>
          <w:tab w:val="num" w:pos="1107"/>
        </w:tabs>
        <w:ind w:left="1107" w:hanging="540"/>
      </w:pPr>
      <w:rPr>
        <w:rFonts w:hint="default"/>
        <w:b/>
        <w:bCs/>
      </w:rPr>
    </w:lvl>
    <w:lvl w:ilvl="2">
      <w:start w:val="1"/>
      <w:numFmt w:val="decimal"/>
      <w:lvlText w:val="%1.%2.%3."/>
      <w:lvlJc w:val="left"/>
      <w:pPr>
        <w:tabs>
          <w:tab w:val="num" w:pos="1260"/>
        </w:tabs>
        <w:ind w:left="1260" w:hanging="720"/>
      </w:pPr>
      <w:rPr>
        <w:rFonts w:hint="default"/>
        <w:b/>
        <w:bCs/>
      </w:rPr>
    </w:lvl>
    <w:lvl w:ilvl="3">
      <w:start w:val="1"/>
      <w:numFmt w:val="decimal"/>
      <w:lvlText w:val="%1.%2.%3.%4."/>
      <w:lvlJc w:val="left"/>
      <w:pPr>
        <w:tabs>
          <w:tab w:val="num" w:pos="2322"/>
        </w:tabs>
        <w:ind w:left="2322" w:hanging="720"/>
      </w:pPr>
      <w:rPr>
        <w:rFonts w:hint="default"/>
        <w:b/>
        <w:bCs/>
      </w:rPr>
    </w:lvl>
    <w:lvl w:ilvl="4">
      <w:start w:val="1"/>
      <w:numFmt w:val="decimal"/>
      <w:lvlText w:val="%1.%2.%3.%4.%5."/>
      <w:lvlJc w:val="left"/>
      <w:pPr>
        <w:tabs>
          <w:tab w:val="num" w:pos="3216"/>
        </w:tabs>
        <w:ind w:left="3216" w:hanging="1080"/>
      </w:pPr>
      <w:rPr>
        <w:rFonts w:hint="default"/>
        <w:b/>
        <w:bCs/>
      </w:rPr>
    </w:lvl>
    <w:lvl w:ilvl="5">
      <w:start w:val="1"/>
      <w:numFmt w:val="decimal"/>
      <w:lvlText w:val="%1.%2.%3.%4.%5.%6."/>
      <w:lvlJc w:val="left"/>
      <w:pPr>
        <w:tabs>
          <w:tab w:val="num" w:pos="3750"/>
        </w:tabs>
        <w:ind w:left="3750" w:hanging="1080"/>
      </w:pPr>
      <w:rPr>
        <w:rFonts w:hint="default"/>
        <w:b/>
        <w:bCs/>
      </w:rPr>
    </w:lvl>
    <w:lvl w:ilvl="6">
      <w:start w:val="1"/>
      <w:numFmt w:val="decimal"/>
      <w:lvlText w:val="%1.%2.%3.%4.%5.%6.%7."/>
      <w:lvlJc w:val="left"/>
      <w:pPr>
        <w:tabs>
          <w:tab w:val="num" w:pos="4644"/>
        </w:tabs>
        <w:ind w:left="4644" w:hanging="1440"/>
      </w:pPr>
      <w:rPr>
        <w:rFonts w:hint="default"/>
        <w:b/>
        <w:bCs/>
      </w:rPr>
    </w:lvl>
    <w:lvl w:ilvl="7">
      <w:start w:val="1"/>
      <w:numFmt w:val="decimal"/>
      <w:lvlText w:val="%1.%2.%3.%4.%5.%6.%7.%8."/>
      <w:lvlJc w:val="left"/>
      <w:pPr>
        <w:tabs>
          <w:tab w:val="num" w:pos="5178"/>
        </w:tabs>
        <w:ind w:left="5178" w:hanging="1440"/>
      </w:pPr>
      <w:rPr>
        <w:rFonts w:hint="default"/>
        <w:b/>
        <w:bCs/>
      </w:rPr>
    </w:lvl>
    <w:lvl w:ilvl="8">
      <w:start w:val="1"/>
      <w:numFmt w:val="decimal"/>
      <w:lvlText w:val="%1.%2.%3.%4.%5.%6.%7.%8.%9."/>
      <w:lvlJc w:val="left"/>
      <w:pPr>
        <w:tabs>
          <w:tab w:val="num" w:pos="6072"/>
        </w:tabs>
        <w:ind w:left="6072" w:hanging="1800"/>
      </w:pPr>
      <w:rPr>
        <w:rFonts w:hint="default"/>
        <w:b/>
        <w:bCs/>
      </w:rPr>
    </w:lvl>
  </w:abstractNum>
  <w:abstractNum w:abstractNumId="1">
    <w:nsid w:val="03E6333A"/>
    <w:multiLevelType w:val="hybridMultilevel"/>
    <w:tmpl w:val="45125146"/>
    <w:lvl w:ilvl="0" w:tplc="04090011">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
    <w:nsid w:val="0AC9041C"/>
    <w:multiLevelType w:val="multilevel"/>
    <w:tmpl w:val="DED66AC4"/>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bCs/>
        <w:color w:val="auto"/>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116D2625"/>
    <w:multiLevelType w:val="hybridMultilevel"/>
    <w:tmpl w:val="44E462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FB652F4"/>
    <w:multiLevelType w:val="hybridMultilevel"/>
    <w:tmpl w:val="D9485A2A"/>
    <w:lvl w:ilvl="0" w:tplc="54EC3CDA">
      <w:start w:val="6"/>
      <w:numFmt w:val="bullet"/>
      <w:lvlText w:val="-"/>
      <w:lvlJc w:val="left"/>
      <w:pPr>
        <w:ind w:left="1146" w:hanging="360"/>
      </w:pPr>
      <w:rPr>
        <w:rFonts w:ascii="Times New Roman" w:eastAsia="Times New Roman" w:hAnsi="Times New Roman" w:hint="default"/>
      </w:rPr>
    </w:lvl>
    <w:lvl w:ilvl="1" w:tplc="04020003">
      <w:start w:val="1"/>
      <w:numFmt w:val="bullet"/>
      <w:lvlText w:val="o"/>
      <w:lvlJc w:val="left"/>
      <w:pPr>
        <w:ind w:left="1866" w:hanging="360"/>
      </w:pPr>
      <w:rPr>
        <w:rFonts w:ascii="Courier New" w:hAnsi="Courier New" w:cs="Courier New" w:hint="default"/>
      </w:rPr>
    </w:lvl>
    <w:lvl w:ilvl="2" w:tplc="04020005">
      <w:start w:val="1"/>
      <w:numFmt w:val="bullet"/>
      <w:lvlText w:val=""/>
      <w:lvlJc w:val="left"/>
      <w:pPr>
        <w:ind w:left="2586" w:hanging="360"/>
      </w:pPr>
      <w:rPr>
        <w:rFonts w:ascii="Wingdings" w:hAnsi="Wingdings" w:cs="Wingdings" w:hint="default"/>
      </w:rPr>
    </w:lvl>
    <w:lvl w:ilvl="3" w:tplc="04020001">
      <w:start w:val="1"/>
      <w:numFmt w:val="bullet"/>
      <w:lvlText w:val=""/>
      <w:lvlJc w:val="left"/>
      <w:pPr>
        <w:ind w:left="3306" w:hanging="360"/>
      </w:pPr>
      <w:rPr>
        <w:rFonts w:ascii="Symbol" w:hAnsi="Symbol" w:cs="Symbol" w:hint="default"/>
      </w:rPr>
    </w:lvl>
    <w:lvl w:ilvl="4" w:tplc="04020003">
      <w:start w:val="1"/>
      <w:numFmt w:val="bullet"/>
      <w:lvlText w:val="o"/>
      <w:lvlJc w:val="left"/>
      <w:pPr>
        <w:ind w:left="4026" w:hanging="360"/>
      </w:pPr>
      <w:rPr>
        <w:rFonts w:ascii="Courier New" w:hAnsi="Courier New" w:cs="Courier New" w:hint="default"/>
      </w:rPr>
    </w:lvl>
    <w:lvl w:ilvl="5" w:tplc="04020005">
      <w:start w:val="1"/>
      <w:numFmt w:val="bullet"/>
      <w:lvlText w:val=""/>
      <w:lvlJc w:val="left"/>
      <w:pPr>
        <w:ind w:left="4746" w:hanging="360"/>
      </w:pPr>
      <w:rPr>
        <w:rFonts w:ascii="Wingdings" w:hAnsi="Wingdings" w:cs="Wingdings" w:hint="default"/>
      </w:rPr>
    </w:lvl>
    <w:lvl w:ilvl="6" w:tplc="04020001">
      <w:start w:val="1"/>
      <w:numFmt w:val="bullet"/>
      <w:lvlText w:val=""/>
      <w:lvlJc w:val="left"/>
      <w:pPr>
        <w:ind w:left="5466" w:hanging="360"/>
      </w:pPr>
      <w:rPr>
        <w:rFonts w:ascii="Symbol" w:hAnsi="Symbol" w:cs="Symbol" w:hint="default"/>
      </w:rPr>
    </w:lvl>
    <w:lvl w:ilvl="7" w:tplc="04020003">
      <w:start w:val="1"/>
      <w:numFmt w:val="bullet"/>
      <w:lvlText w:val="o"/>
      <w:lvlJc w:val="left"/>
      <w:pPr>
        <w:ind w:left="6186" w:hanging="360"/>
      </w:pPr>
      <w:rPr>
        <w:rFonts w:ascii="Courier New" w:hAnsi="Courier New" w:cs="Courier New" w:hint="default"/>
      </w:rPr>
    </w:lvl>
    <w:lvl w:ilvl="8" w:tplc="04020005">
      <w:start w:val="1"/>
      <w:numFmt w:val="bullet"/>
      <w:lvlText w:val=""/>
      <w:lvlJc w:val="left"/>
      <w:pPr>
        <w:ind w:left="6906" w:hanging="360"/>
      </w:pPr>
      <w:rPr>
        <w:rFonts w:ascii="Wingdings" w:hAnsi="Wingdings" w:cs="Wingdings" w:hint="default"/>
      </w:rPr>
    </w:lvl>
  </w:abstractNum>
  <w:abstractNum w:abstractNumId="5">
    <w:nsid w:val="1FFC2BB9"/>
    <w:multiLevelType w:val="multilevel"/>
    <w:tmpl w:val="52E0C62A"/>
    <w:lvl w:ilvl="0">
      <w:start w:val="1"/>
      <w:numFmt w:val="decimal"/>
      <w:lvlText w:val="%1."/>
      <w:lvlJc w:val="left"/>
      <w:pPr>
        <w:ind w:left="786" w:hanging="360"/>
      </w:pPr>
      <w:rPr>
        <w:rFonts w:hint="default"/>
        <w:b w:val="0"/>
        <w:bCs w:val="0"/>
      </w:rPr>
    </w:lvl>
    <w:lvl w:ilvl="1">
      <w:start w:val="1"/>
      <w:numFmt w:val="decimal"/>
      <w:isLgl/>
      <w:lvlText w:val="%1.%2."/>
      <w:lvlJc w:val="left"/>
      <w:pPr>
        <w:ind w:left="1506" w:hanging="72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586" w:hanging="108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666" w:hanging="144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746" w:hanging="1800"/>
      </w:pPr>
      <w:rPr>
        <w:rFonts w:hint="default"/>
      </w:rPr>
    </w:lvl>
    <w:lvl w:ilvl="8">
      <w:start w:val="1"/>
      <w:numFmt w:val="decimal"/>
      <w:isLgl/>
      <w:lvlText w:val="%1.%2.%3.%4.%5.%6.%7.%8.%9."/>
      <w:lvlJc w:val="left"/>
      <w:pPr>
        <w:ind w:left="5106" w:hanging="1800"/>
      </w:pPr>
      <w:rPr>
        <w:rFonts w:hint="default"/>
      </w:rPr>
    </w:lvl>
  </w:abstractNum>
  <w:abstractNum w:abstractNumId="6">
    <w:nsid w:val="349B6DCB"/>
    <w:multiLevelType w:val="hybridMultilevel"/>
    <w:tmpl w:val="2AB0E5C0"/>
    <w:lvl w:ilvl="0" w:tplc="B3FC4CCC">
      <w:start w:val="1"/>
      <w:numFmt w:val="decimal"/>
      <w:lvlText w:val="%1."/>
      <w:lvlJc w:val="left"/>
      <w:pPr>
        <w:ind w:left="786" w:hanging="360"/>
      </w:pPr>
      <w:rPr>
        <w:b/>
        <w:bCs/>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7">
    <w:nsid w:val="35B364BE"/>
    <w:multiLevelType w:val="hybridMultilevel"/>
    <w:tmpl w:val="A2365A28"/>
    <w:lvl w:ilvl="0" w:tplc="538C7A80">
      <w:start w:val="1"/>
      <w:numFmt w:val="decimal"/>
      <w:lvlText w:val="%1."/>
      <w:lvlJc w:val="left"/>
      <w:pPr>
        <w:ind w:left="786" w:hanging="360"/>
      </w:pPr>
      <w:rPr>
        <w:rFonts w:hint="default"/>
        <w:color w:val="auto"/>
      </w:rPr>
    </w:lvl>
    <w:lvl w:ilvl="1" w:tplc="04020019">
      <w:start w:val="1"/>
      <w:numFmt w:val="lowerLetter"/>
      <w:lvlText w:val="%2."/>
      <w:lvlJc w:val="left"/>
      <w:pPr>
        <w:ind w:left="1506" w:hanging="360"/>
      </w:pPr>
    </w:lvl>
    <w:lvl w:ilvl="2" w:tplc="0402001B">
      <w:start w:val="1"/>
      <w:numFmt w:val="lowerRoman"/>
      <w:lvlText w:val="%3."/>
      <w:lvlJc w:val="right"/>
      <w:pPr>
        <w:ind w:left="2226" w:hanging="180"/>
      </w:pPr>
    </w:lvl>
    <w:lvl w:ilvl="3" w:tplc="0402000F">
      <w:start w:val="1"/>
      <w:numFmt w:val="decimal"/>
      <w:lvlText w:val="%4."/>
      <w:lvlJc w:val="left"/>
      <w:pPr>
        <w:ind w:left="2946" w:hanging="360"/>
      </w:pPr>
    </w:lvl>
    <w:lvl w:ilvl="4" w:tplc="04020019">
      <w:start w:val="1"/>
      <w:numFmt w:val="lowerLetter"/>
      <w:lvlText w:val="%5."/>
      <w:lvlJc w:val="left"/>
      <w:pPr>
        <w:ind w:left="3666" w:hanging="360"/>
      </w:pPr>
    </w:lvl>
    <w:lvl w:ilvl="5" w:tplc="0402001B">
      <w:start w:val="1"/>
      <w:numFmt w:val="lowerRoman"/>
      <w:lvlText w:val="%6."/>
      <w:lvlJc w:val="right"/>
      <w:pPr>
        <w:ind w:left="4386" w:hanging="180"/>
      </w:pPr>
    </w:lvl>
    <w:lvl w:ilvl="6" w:tplc="0402000F">
      <w:start w:val="1"/>
      <w:numFmt w:val="decimal"/>
      <w:lvlText w:val="%7."/>
      <w:lvlJc w:val="left"/>
      <w:pPr>
        <w:ind w:left="5106" w:hanging="360"/>
      </w:pPr>
    </w:lvl>
    <w:lvl w:ilvl="7" w:tplc="04020019">
      <w:start w:val="1"/>
      <w:numFmt w:val="lowerLetter"/>
      <w:lvlText w:val="%8."/>
      <w:lvlJc w:val="left"/>
      <w:pPr>
        <w:ind w:left="5826" w:hanging="360"/>
      </w:pPr>
    </w:lvl>
    <w:lvl w:ilvl="8" w:tplc="0402001B">
      <w:start w:val="1"/>
      <w:numFmt w:val="lowerRoman"/>
      <w:lvlText w:val="%9."/>
      <w:lvlJc w:val="right"/>
      <w:pPr>
        <w:ind w:left="6546" w:hanging="180"/>
      </w:pPr>
    </w:lvl>
  </w:abstractNum>
  <w:abstractNum w:abstractNumId="8">
    <w:nsid w:val="3DB74975"/>
    <w:multiLevelType w:val="multilevel"/>
    <w:tmpl w:val="72720824"/>
    <w:lvl w:ilvl="0">
      <w:start w:val="1"/>
      <w:numFmt w:val="decimal"/>
      <w:lvlText w:val="%1."/>
      <w:lvlJc w:val="left"/>
      <w:pPr>
        <w:tabs>
          <w:tab w:val="num" w:pos="966"/>
        </w:tabs>
        <w:ind w:left="966" w:hanging="540"/>
      </w:pPr>
      <w:rPr>
        <w:rFonts w:ascii="Times New Roman" w:hAnsi="Times New Roman" w:cs="Times New Roman" w:hint="default"/>
        <w:b/>
        <w:bCs/>
        <w:color w:val="auto"/>
        <w:sz w:val="20"/>
        <w:szCs w:val="20"/>
      </w:rPr>
    </w:lvl>
    <w:lvl w:ilvl="1">
      <w:start w:val="2"/>
      <w:numFmt w:val="decimal"/>
      <w:lvlText w:val="%1.%2."/>
      <w:lvlJc w:val="left"/>
      <w:pPr>
        <w:tabs>
          <w:tab w:val="num" w:pos="1107"/>
        </w:tabs>
        <w:ind w:left="1107" w:hanging="540"/>
      </w:pPr>
      <w:rPr>
        <w:rFonts w:hint="default"/>
        <w:b/>
        <w:bCs/>
      </w:rPr>
    </w:lvl>
    <w:lvl w:ilvl="2">
      <w:start w:val="1"/>
      <w:numFmt w:val="decimal"/>
      <w:lvlText w:val="%1.%2.%3."/>
      <w:lvlJc w:val="left"/>
      <w:pPr>
        <w:tabs>
          <w:tab w:val="num" w:pos="1260"/>
        </w:tabs>
        <w:ind w:left="1260" w:hanging="720"/>
      </w:pPr>
      <w:rPr>
        <w:rFonts w:hint="default"/>
        <w:b/>
        <w:bCs/>
      </w:rPr>
    </w:lvl>
    <w:lvl w:ilvl="3">
      <w:start w:val="1"/>
      <w:numFmt w:val="decimal"/>
      <w:lvlText w:val="%1.%2.%3.%4."/>
      <w:lvlJc w:val="left"/>
      <w:pPr>
        <w:tabs>
          <w:tab w:val="num" w:pos="2322"/>
        </w:tabs>
        <w:ind w:left="2322" w:hanging="720"/>
      </w:pPr>
      <w:rPr>
        <w:rFonts w:hint="default"/>
        <w:b/>
        <w:bCs/>
      </w:rPr>
    </w:lvl>
    <w:lvl w:ilvl="4">
      <w:start w:val="1"/>
      <w:numFmt w:val="decimal"/>
      <w:lvlText w:val="%1.%2.%3.%4.%5."/>
      <w:lvlJc w:val="left"/>
      <w:pPr>
        <w:tabs>
          <w:tab w:val="num" w:pos="3216"/>
        </w:tabs>
        <w:ind w:left="3216" w:hanging="1080"/>
      </w:pPr>
      <w:rPr>
        <w:rFonts w:hint="default"/>
        <w:b/>
        <w:bCs/>
      </w:rPr>
    </w:lvl>
    <w:lvl w:ilvl="5">
      <w:start w:val="1"/>
      <w:numFmt w:val="decimal"/>
      <w:lvlText w:val="%1.%2.%3.%4.%5.%6."/>
      <w:lvlJc w:val="left"/>
      <w:pPr>
        <w:tabs>
          <w:tab w:val="num" w:pos="3750"/>
        </w:tabs>
        <w:ind w:left="3750" w:hanging="1080"/>
      </w:pPr>
      <w:rPr>
        <w:rFonts w:hint="default"/>
        <w:b/>
        <w:bCs/>
      </w:rPr>
    </w:lvl>
    <w:lvl w:ilvl="6">
      <w:start w:val="1"/>
      <w:numFmt w:val="decimal"/>
      <w:lvlText w:val="%1.%2.%3.%4.%5.%6.%7."/>
      <w:lvlJc w:val="left"/>
      <w:pPr>
        <w:tabs>
          <w:tab w:val="num" w:pos="4644"/>
        </w:tabs>
        <w:ind w:left="4644" w:hanging="1440"/>
      </w:pPr>
      <w:rPr>
        <w:rFonts w:hint="default"/>
        <w:b/>
        <w:bCs/>
      </w:rPr>
    </w:lvl>
    <w:lvl w:ilvl="7">
      <w:start w:val="1"/>
      <w:numFmt w:val="decimal"/>
      <w:lvlText w:val="%1.%2.%3.%4.%5.%6.%7.%8."/>
      <w:lvlJc w:val="left"/>
      <w:pPr>
        <w:tabs>
          <w:tab w:val="num" w:pos="5178"/>
        </w:tabs>
        <w:ind w:left="5178" w:hanging="1440"/>
      </w:pPr>
      <w:rPr>
        <w:rFonts w:hint="default"/>
        <w:b/>
        <w:bCs/>
      </w:rPr>
    </w:lvl>
    <w:lvl w:ilvl="8">
      <w:start w:val="1"/>
      <w:numFmt w:val="decimal"/>
      <w:lvlText w:val="%1.%2.%3.%4.%5.%6.%7.%8.%9."/>
      <w:lvlJc w:val="left"/>
      <w:pPr>
        <w:tabs>
          <w:tab w:val="num" w:pos="6072"/>
        </w:tabs>
        <w:ind w:left="6072" w:hanging="1800"/>
      </w:pPr>
      <w:rPr>
        <w:rFonts w:hint="default"/>
        <w:b/>
        <w:bCs/>
      </w:rPr>
    </w:lvl>
  </w:abstractNum>
  <w:abstractNum w:abstractNumId="9">
    <w:nsid w:val="44D67949"/>
    <w:multiLevelType w:val="hybridMultilevel"/>
    <w:tmpl w:val="43D0D594"/>
    <w:lvl w:ilvl="0" w:tplc="65BC5F7A">
      <w:start w:val="3"/>
      <w:numFmt w:val="bullet"/>
      <w:lvlText w:val="-"/>
      <w:lvlJc w:val="left"/>
      <w:pPr>
        <w:ind w:left="1440" w:hanging="360"/>
      </w:pPr>
      <w:rPr>
        <w:rFonts w:ascii="Times New Roman" w:eastAsia="Times New Roman" w:hAnsi="Times New Roman" w:hint="default"/>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cs="Wingdings" w:hint="default"/>
      </w:rPr>
    </w:lvl>
    <w:lvl w:ilvl="3" w:tplc="04020001">
      <w:start w:val="1"/>
      <w:numFmt w:val="bullet"/>
      <w:lvlText w:val=""/>
      <w:lvlJc w:val="left"/>
      <w:pPr>
        <w:ind w:left="3600" w:hanging="360"/>
      </w:pPr>
      <w:rPr>
        <w:rFonts w:ascii="Symbol" w:hAnsi="Symbol" w:cs="Symbol" w:hint="default"/>
      </w:rPr>
    </w:lvl>
    <w:lvl w:ilvl="4" w:tplc="04020003">
      <w:start w:val="1"/>
      <w:numFmt w:val="bullet"/>
      <w:lvlText w:val="o"/>
      <w:lvlJc w:val="left"/>
      <w:pPr>
        <w:ind w:left="4320" w:hanging="360"/>
      </w:pPr>
      <w:rPr>
        <w:rFonts w:ascii="Courier New" w:hAnsi="Courier New" w:cs="Courier New" w:hint="default"/>
      </w:rPr>
    </w:lvl>
    <w:lvl w:ilvl="5" w:tplc="04020005">
      <w:start w:val="1"/>
      <w:numFmt w:val="bullet"/>
      <w:lvlText w:val=""/>
      <w:lvlJc w:val="left"/>
      <w:pPr>
        <w:ind w:left="5040" w:hanging="360"/>
      </w:pPr>
      <w:rPr>
        <w:rFonts w:ascii="Wingdings" w:hAnsi="Wingdings" w:cs="Wingdings" w:hint="default"/>
      </w:rPr>
    </w:lvl>
    <w:lvl w:ilvl="6" w:tplc="04020001">
      <w:start w:val="1"/>
      <w:numFmt w:val="bullet"/>
      <w:lvlText w:val=""/>
      <w:lvlJc w:val="left"/>
      <w:pPr>
        <w:ind w:left="5760" w:hanging="360"/>
      </w:pPr>
      <w:rPr>
        <w:rFonts w:ascii="Symbol" w:hAnsi="Symbol" w:cs="Symbol" w:hint="default"/>
      </w:rPr>
    </w:lvl>
    <w:lvl w:ilvl="7" w:tplc="04020003">
      <w:start w:val="1"/>
      <w:numFmt w:val="bullet"/>
      <w:lvlText w:val="o"/>
      <w:lvlJc w:val="left"/>
      <w:pPr>
        <w:ind w:left="6480" w:hanging="360"/>
      </w:pPr>
      <w:rPr>
        <w:rFonts w:ascii="Courier New" w:hAnsi="Courier New" w:cs="Courier New" w:hint="default"/>
      </w:rPr>
    </w:lvl>
    <w:lvl w:ilvl="8" w:tplc="04020005">
      <w:start w:val="1"/>
      <w:numFmt w:val="bullet"/>
      <w:lvlText w:val=""/>
      <w:lvlJc w:val="left"/>
      <w:pPr>
        <w:ind w:left="7200" w:hanging="360"/>
      </w:pPr>
      <w:rPr>
        <w:rFonts w:ascii="Wingdings" w:hAnsi="Wingdings" w:cs="Wingdings" w:hint="default"/>
      </w:rPr>
    </w:lvl>
  </w:abstractNum>
  <w:abstractNum w:abstractNumId="10">
    <w:nsid w:val="573B4CB1"/>
    <w:multiLevelType w:val="multilevel"/>
    <w:tmpl w:val="72720824"/>
    <w:lvl w:ilvl="0">
      <w:start w:val="1"/>
      <w:numFmt w:val="decimal"/>
      <w:lvlText w:val="%1."/>
      <w:lvlJc w:val="left"/>
      <w:pPr>
        <w:tabs>
          <w:tab w:val="num" w:pos="966"/>
        </w:tabs>
        <w:ind w:left="966" w:hanging="540"/>
      </w:pPr>
      <w:rPr>
        <w:rFonts w:ascii="Times New Roman" w:hAnsi="Times New Roman" w:cs="Times New Roman" w:hint="default"/>
        <w:b/>
        <w:bCs/>
        <w:color w:val="auto"/>
        <w:sz w:val="20"/>
        <w:szCs w:val="20"/>
      </w:rPr>
    </w:lvl>
    <w:lvl w:ilvl="1">
      <w:start w:val="2"/>
      <w:numFmt w:val="decimal"/>
      <w:lvlText w:val="%1.%2."/>
      <w:lvlJc w:val="left"/>
      <w:pPr>
        <w:tabs>
          <w:tab w:val="num" w:pos="1107"/>
        </w:tabs>
        <w:ind w:left="1107" w:hanging="540"/>
      </w:pPr>
      <w:rPr>
        <w:rFonts w:hint="default"/>
        <w:b/>
        <w:bCs/>
      </w:rPr>
    </w:lvl>
    <w:lvl w:ilvl="2">
      <w:start w:val="1"/>
      <w:numFmt w:val="decimal"/>
      <w:lvlText w:val="%1.%2.%3."/>
      <w:lvlJc w:val="left"/>
      <w:pPr>
        <w:tabs>
          <w:tab w:val="num" w:pos="1260"/>
        </w:tabs>
        <w:ind w:left="1260" w:hanging="720"/>
      </w:pPr>
      <w:rPr>
        <w:rFonts w:hint="default"/>
        <w:b/>
        <w:bCs/>
      </w:rPr>
    </w:lvl>
    <w:lvl w:ilvl="3">
      <w:start w:val="1"/>
      <w:numFmt w:val="decimal"/>
      <w:lvlText w:val="%1.%2.%3.%4."/>
      <w:lvlJc w:val="left"/>
      <w:pPr>
        <w:tabs>
          <w:tab w:val="num" w:pos="2322"/>
        </w:tabs>
        <w:ind w:left="2322" w:hanging="720"/>
      </w:pPr>
      <w:rPr>
        <w:rFonts w:hint="default"/>
        <w:b/>
        <w:bCs/>
      </w:rPr>
    </w:lvl>
    <w:lvl w:ilvl="4">
      <w:start w:val="1"/>
      <w:numFmt w:val="decimal"/>
      <w:lvlText w:val="%1.%2.%3.%4.%5."/>
      <w:lvlJc w:val="left"/>
      <w:pPr>
        <w:tabs>
          <w:tab w:val="num" w:pos="3216"/>
        </w:tabs>
        <w:ind w:left="3216" w:hanging="1080"/>
      </w:pPr>
      <w:rPr>
        <w:rFonts w:hint="default"/>
        <w:b/>
        <w:bCs/>
      </w:rPr>
    </w:lvl>
    <w:lvl w:ilvl="5">
      <w:start w:val="1"/>
      <w:numFmt w:val="decimal"/>
      <w:lvlText w:val="%1.%2.%3.%4.%5.%6."/>
      <w:lvlJc w:val="left"/>
      <w:pPr>
        <w:tabs>
          <w:tab w:val="num" w:pos="3750"/>
        </w:tabs>
        <w:ind w:left="3750" w:hanging="1080"/>
      </w:pPr>
      <w:rPr>
        <w:rFonts w:hint="default"/>
        <w:b/>
        <w:bCs/>
      </w:rPr>
    </w:lvl>
    <w:lvl w:ilvl="6">
      <w:start w:val="1"/>
      <w:numFmt w:val="decimal"/>
      <w:lvlText w:val="%1.%2.%3.%4.%5.%6.%7."/>
      <w:lvlJc w:val="left"/>
      <w:pPr>
        <w:tabs>
          <w:tab w:val="num" w:pos="4644"/>
        </w:tabs>
        <w:ind w:left="4644" w:hanging="1440"/>
      </w:pPr>
      <w:rPr>
        <w:rFonts w:hint="default"/>
        <w:b/>
        <w:bCs/>
      </w:rPr>
    </w:lvl>
    <w:lvl w:ilvl="7">
      <w:start w:val="1"/>
      <w:numFmt w:val="decimal"/>
      <w:lvlText w:val="%1.%2.%3.%4.%5.%6.%7.%8."/>
      <w:lvlJc w:val="left"/>
      <w:pPr>
        <w:tabs>
          <w:tab w:val="num" w:pos="5178"/>
        </w:tabs>
        <w:ind w:left="5178" w:hanging="1440"/>
      </w:pPr>
      <w:rPr>
        <w:rFonts w:hint="default"/>
        <w:b/>
        <w:bCs/>
      </w:rPr>
    </w:lvl>
    <w:lvl w:ilvl="8">
      <w:start w:val="1"/>
      <w:numFmt w:val="decimal"/>
      <w:lvlText w:val="%1.%2.%3.%4.%5.%6.%7.%8.%9."/>
      <w:lvlJc w:val="left"/>
      <w:pPr>
        <w:tabs>
          <w:tab w:val="num" w:pos="6072"/>
        </w:tabs>
        <w:ind w:left="6072" w:hanging="1800"/>
      </w:pPr>
      <w:rPr>
        <w:rFonts w:hint="default"/>
        <w:b/>
        <w:bCs/>
      </w:rPr>
    </w:lvl>
  </w:abstractNum>
  <w:abstractNum w:abstractNumId="11">
    <w:nsid w:val="5910104A"/>
    <w:multiLevelType w:val="multilevel"/>
    <w:tmpl w:val="4754F1EE"/>
    <w:lvl w:ilvl="0">
      <w:start w:val="24"/>
      <w:numFmt w:val="decimal"/>
      <w:lvlText w:val="%1"/>
      <w:lvlJc w:val="left"/>
      <w:pPr>
        <w:ind w:left="420" w:hanging="420"/>
      </w:pPr>
      <w:rPr>
        <w:rFonts w:hint="default"/>
      </w:rPr>
    </w:lvl>
    <w:lvl w:ilvl="1">
      <w:start w:val="2"/>
      <w:numFmt w:val="decimal"/>
      <w:lvlText w:val="%1.%2"/>
      <w:lvlJc w:val="left"/>
      <w:pPr>
        <w:ind w:left="1271" w:hanging="42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nsid w:val="5F52111E"/>
    <w:multiLevelType w:val="hybridMultilevel"/>
    <w:tmpl w:val="8FCE4E58"/>
    <w:lvl w:ilvl="0" w:tplc="DFAC7136">
      <w:start w:val="1"/>
      <w:numFmt w:val="bullet"/>
      <w:lvlText w:val="-"/>
      <w:lvlJc w:val="left"/>
      <w:pPr>
        <w:ind w:left="720" w:hanging="360"/>
      </w:pPr>
      <w:rPr>
        <w:rFonts w:ascii="Arial" w:eastAsia="Times New Roman" w:hAnsi="Aria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13">
    <w:nsid w:val="663D0673"/>
    <w:multiLevelType w:val="multilevel"/>
    <w:tmpl w:val="DF66F620"/>
    <w:lvl w:ilvl="0">
      <w:start w:val="3"/>
      <w:numFmt w:val="decimal"/>
      <w:lvlText w:val="%1."/>
      <w:lvlJc w:val="left"/>
      <w:pPr>
        <w:ind w:left="720" w:hanging="360"/>
      </w:pPr>
      <w:rPr>
        <w:rFonts w:hint="default"/>
      </w:rPr>
    </w:lvl>
    <w:lvl w:ilvl="1">
      <w:start w:val="4"/>
      <w:numFmt w:val="decimal"/>
      <w:isLgl/>
      <w:lvlText w:val="%1.%2."/>
      <w:lvlJc w:val="left"/>
      <w:pPr>
        <w:ind w:left="1920" w:hanging="360"/>
      </w:pPr>
      <w:rPr>
        <w:rFonts w:hint="default"/>
        <w:b/>
        <w:bCs/>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6"/>
  </w:num>
  <w:num w:numId="2">
    <w:abstractNumId w:val="2"/>
  </w:num>
  <w:num w:numId="3">
    <w:abstractNumId w:val="5"/>
  </w:num>
  <w:num w:numId="4">
    <w:abstractNumId w:val="12"/>
  </w:num>
  <w:num w:numId="5">
    <w:abstractNumId w:val="7"/>
  </w:num>
  <w:num w:numId="6">
    <w:abstractNumId w:val="8"/>
  </w:num>
  <w:num w:numId="7">
    <w:abstractNumId w:val="11"/>
  </w:num>
  <w:num w:numId="8">
    <w:abstractNumId w:val="13"/>
  </w:num>
  <w:num w:numId="9">
    <w:abstractNumId w:val="0"/>
  </w:num>
  <w:num w:numId="10">
    <w:abstractNumId w:val="4"/>
  </w:num>
  <w:num w:numId="11">
    <w:abstractNumId w:val="10"/>
  </w:num>
  <w:num w:numId="12">
    <w:abstractNumId w:val="1"/>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46"/>
    <w:rsid w:val="000050BD"/>
    <w:rsid w:val="00022651"/>
    <w:rsid w:val="000319F9"/>
    <w:rsid w:val="00031CB7"/>
    <w:rsid w:val="00044249"/>
    <w:rsid w:val="00054498"/>
    <w:rsid w:val="00064B62"/>
    <w:rsid w:val="0006502B"/>
    <w:rsid w:val="00070A16"/>
    <w:rsid w:val="00076217"/>
    <w:rsid w:val="00082BBA"/>
    <w:rsid w:val="00083C88"/>
    <w:rsid w:val="000975BA"/>
    <w:rsid w:val="000A38D5"/>
    <w:rsid w:val="000A5EED"/>
    <w:rsid w:val="000B24FF"/>
    <w:rsid w:val="000B5813"/>
    <w:rsid w:val="000C0912"/>
    <w:rsid w:val="000E5FCB"/>
    <w:rsid w:val="000E78A9"/>
    <w:rsid w:val="000F75F0"/>
    <w:rsid w:val="001018C9"/>
    <w:rsid w:val="00105F32"/>
    <w:rsid w:val="00120305"/>
    <w:rsid w:val="00120E90"/>
    <w:rsid w:val="001212F8"/>
    <w:rsid w:val="00135C6C"/>
    <w:rsid w:val="00142EE8"/>
    <w:rsid w:val="00147989"/>
    <w:rsid w:val="00153F5F"/>
    <w:rsid w:val="001571B4"/>
    <w:rsid w:val="0016351A"/>
    <w:rsid w:val="00180193"/>
    <w:rsid w:val="0018158D"/>
    <w:rsid w:val="00190247"/>
    <w:rsid w:val="0019352D"/>
    <w:rsid w:val="0019510F"/>
    <w:rsid w:val="001B4A35"/>
    <w:rsid w:val="001C078B"/>
    <w:rsid w:val="001C07E2"/>
    <w:rsid w:val="001C15B8"/>
    <w:rsid w:val="001C2C2C"/>
    <w:rsid w:val="001C5B03"/>
    <w:rsid w:val="001C5DFD"/>
    <w:rsid w:val="001E4729"/>
    <w:rsid w:val="001F08ED"/>
    <w:rsid w:val="001F5DDA"/>
    <w:rsid w:val="00203740"/>
    <w:rsid w:val="002106C2"/>
    <w:rsid w:val="00211D96"/>
    <w:rsid w:val="00211DC7"/>
    <w:rsid w:val="00230BB4"/>
    <w:rsid w:val="00242AE8"/>
    <w:rsid w:val="002432C5"/>
    <w:rsid w:val="00251A8E"/>
    <w:rsid w:val="00286C5F"/>
    <w:rsid w:val="00286EDB"/>
    <w:rsid w:val="00292D53"/>
    <w:rsid w:val="00296E8C"/>
    <w:rsid w:val="002A51E8"/>
    <w:rsid w:val="002C11ED"/>
    <w:rsid w:val="002C23D6"/>
    <w:rsid w:val="002C2DC3"/>
    <w:rsid w:val="002D25D8"/>
    <w:rsid w:val="002E428E"/>
    <w:rsid w:val="002F33DB"/>
    <w:rsid w:val="003009E4"/>
    <w:rsid w:val="00302EED"/>
    <w:rsid w:val="00313C91"/>
    <w:rsid w:val="00324FE6"/>
    <w:rsid w:val="00332E3A"/>
    <w:rsid w:val="00351F4B"/>
    <w:rsid w:val="00353E7C"/>
    <w:rsid w:val="00356AE4"/>
    <w:rsid w:val="003624E5"/>
    <w:rsid w:val="00364321"/>
    <w:rsid w:val="003755F3"/>
    <w:rsid w:val="003A7435"/>
    <w:rsid w:val="003B5C8B"/>
    <w:rsid w:val="003D3CDD"/>
    <w:rsid w:val="003D65F3"/>
    <w:rsid w:val="003F49DF"/>
    <w:rsid w:val="003F67BE"/>
    <w:rsid w:val="00404003"/>
    <w:rsid w:val="00412986"/>
    <w:rsid w:val="00413949"/>
    <w:rsid w:val="0042313F"/>
    <w:rsid w:val="00424817"/>
    <w:rsid w:val="00430932"/>
    <w:rsid w:val="00441752"/>
    <w:rsid w:val="004444B7"/>
    <w:rsid w:val="00445431"/>
    <w:rsid w:val="00453802"/>
    <w:rsid w:val="00454560"/>
    <w:rsid w:val="00464A47"/>
    <w:rsid w:val="00470718"/>
    <w:rsid w:val="00470B70"/>
    <w:rsid w:val="00473798"/>
    <w:rsid w:val="004831D6"/>
    <w:rsid w:val="0048483B"/>
    <w:rsid w:val="004918F9"/>
    <w:rsid w:val="00492D9A"/>
    <w:rsid w:val="004A7ABE"/>
    <w:rsid w:val="004B1279"/>
    <w:rsid w:val="004C274D"/>
    <w:rsid w:val="004E7EC0"/>
    <w:rsid w:val="004F3698"/>
    <w:rsid w:val="004F3937"/>
    <w:rsid w:val="004F7406"/>
    <w:rsid w:val="005006BA"/>
    <w:rsid w:val="005103E7"/>
    <w:rsid w:val="0052263A"/>
    <w:rsid w:val="00526146"/>
    <w:rsid w:val="005301B9"/>
    <w:rsid w:val="00531993"/>
    <w:rsid w:val="0054013F"/>
    <w:rsid w:val="0054089F"/>
    <w:rsid w:val="00541C44"/>
    <w:rsid w:val="00547F80"/>
    <w:rsid w:val="005545DB"/>
    <w:rsid w:val="00560289"/>
    <w:rsid w:val="00561341"/>
    <w:rsid w:val="0058067A"/>
    <w:rsid w:val="0059276C"/>
    <w:rsid w:val="005A380A"/>
    <w:rsid w:val="005D0BA3"/>
    <w:rsid w:val="005E4A54"/>
    <w:rsid w:val="005E4F5C"/>
    <w:rsid w:val="005F30D3"/>
    <w:rsid w:val="005F3D64"/>
    <w:rsid w:val="005F5BA5"/>
    <w:rsid w:val="005F635B"/>
    <w:rsid w:val="00613ED9"/>
    <w:rsid w:val="00614EEC"/>
    <w:rsid w:val="006216E7"/>
    <w:rsid w:val="006235B7"/>
    <w:rsid w:val="00650819"/>
    <w:rsid w:val="00670E9D"/>
    <w:rsid w:val="006814F6"/>
    <w:rsid w:val="0068578E"/>
    <w:rsid w:val="00686D71"/>
    <w:rsid w:val="0069242D"/>
    <w:rsid w:val="00692E89"/>
    <w:rsid w:val="00694784"/>
    <w:rsid w:val="006949B0"/>
    <w:rsid w:val="006A35B7"/>
    <w:rsid w:val="006B1A71"/>
    <w:rsid w:val="006B76D9"/>
    <w:rsid w:val="006D01E6"/>
    <w:rsid w:val="006D12D1"/>
    <w:rsid w:val="006D5CFD"/>
    <w:rsid w:val="006F0538"/>
    <w:rsid w:val="007011D1"/>
    <w:rsid w:val="00711DCD"/>
    <w:rsid w:val="007124DC"/>
    <w:rsid w:val="00722FA0"/>
    <w:rsid w:val="007340E9"/>
    <w:rsid w:val="007536F9"/>
    <w:rsid w:val="007702AA"/>
    <w:rsid w:val="007705B5"/>
    <w:rsid w:val="00772686"/>
    <w:rsid w:val="00774DA2"/>
    <w:rsid w:val="007811A3"/>
    <w:rsid w:val="00791E2B"/>
    <w:rsid w:val="00794C26"/>
    <w:rsid w:val="007A1078"/>
    <w:rsid w:val="007B0E1C"/>
    <w:rsid w:val="007D6C28"/>
    <w:rsid w:val="007F384D"/>
    <w:rsid w:val="00813F38"/>
    <w:rsid w:val="008300E2"/>
    <w:rsid w:val="00836A6A"/>
    <w:rsid w:val="00837632"/>
    <w:rsid w:val="00845961"/>
    <w:rsid w:val="008547F4"/>
    <w:rsid w:val="00860644"/>
    <w:rsid w:val="008620D4"/>
    <w:rsid w:val="00863B13"/>
    <w:rsid w:val="008749F4"/>
    <w:rsid w:val="008949E2"/>
    <w:rsid w:val="008B1710"/>
    <w:rsid w:val="008D3194"/>
    <w:rsid w:val="008D4958"/>
    <w:rsid w:val="008E3CCC"/>
    <w:rsid w:val="008F27B6"/>
    <w:rsid w:val="00900481"/>
    <w:rsid w:val="009024D5"/>
    <w:rsid w:val="009149E3"/>
    <w:rsid w:val="00917170"/>
    <w:rsid w:val="009201B4"/>
    <w:rsid w:val="0092020B"/>
    <w:rsid w:val="00927271"/>
    <w:rsid w:val="009324B5"/>
    <w:rsid w:val="009340D2"/>
    <w:rsid w:val="009354A5"/>
    <w:rsid w:val="009369C8"/>
    <w:rsid w:val="009420A7"/>
    <w:rsid w:val="00943647"/>
    <w:rsid w:val="00953BB7"/>
    <w:rsid w:val="00963823"/>
    <w:rsid w:val="00963B08"/>
    <w:rsid w:val="00975C61"/>
    <w:rsid w:val="009809AC"/>
    <w:rsid w:val="00984053"/>
    <w:rsid w:val="00985BFD"/>
    <w:rsid w:val="009872DC"/>
    <w:rsid w:val="009A104E"/>
    <w:rsid w:val="009A529A"/>
    <w:rsid w:val="009A60DC"/>
    <w:rsid w:val="009D2AA5"/>
    <w:rsid w:val="009D78B4"/>
    <w:rsid w:val="009F014F"/>
    <w:rsid w:val="009F21B9"/>
    <w:rsid w:val="00A03937"/>
    <w:rsid w:val="00A52DEB"/>
    <w:rsid w:val="00A677F7"/>
    <w:rsid w:val="00A7591E"/>
    <w:rsid w:val="00A77AB8"/>
    <w:rsid w:val="00A84216"/>
    <w:rsid w:val="00A850B2"/>
    <w:rsid w:val="00A85F0C"/>
    <w:rsid w:val="00A94AFC"/>
    <w:rsid w:val="00A94E88"/>
    <w:rsid w:val="00A97040"/>
    <w:rsid w:val="00AB5171"/>
    <w:rsid w:val="00AC163F"/>
    <w:rsid w:val="00AC258C"/>
    <w:rsid w:val="00AD4B11"/>
    <w:rsid w:val="00AD6A48"/>
    <w:rsid w:val="00AE20E0"/>
    <w:rsid w:val="00AE3F0E"/>
    <w:rsid w:val="00AF0CC2"/>
    <w:rsid w:val="00B12154"/>
    <w:rsid w:val="00B17A30"/>
    <w:rsid w:val="00B30AEA"/>
    <w:rsid w:val="00B43EAA"/>
    <w:rsid w:val="00B5277E"/>
    <w:rsid w:val="00B70622"/>
    <w:rsid w:val="00B742BC"/>
    <w:rsid w:val="00B74757"/>
    <w:rsid w:val="00B840E5"/>
    <w:rsid w:val="00B951A5"/>
    <w:rsid w:val="00BB4A32"/>
    <w:rsid w:val="00BC252F"/>
    <w:rsid w:val="00BD21D1"/>
    <w:rsid w:val="00BE06C1"/>
    <w:rsid w:val="00BE3F70"/>
    <w:rsid w:val="00C03677"/>
    <w:rsid w:val="00C12568"/>
    <w:rsid w:val="00C3220D"/>
    <w:rsid w:val="00C40266"/>
    <w:rsid w:val="00C5106F"/>
    <w:rsid w:val="00C6173C"/>
    <w:rsid w:val="00C6386D"/>
    <w:rsid w:val="00C77A3D"/>
    <w:rsid w:val="00C91B04"/>
    <w:rsid w:val="00CA60E4"/>
    <w:rsid w:val="00CA7FB3"/>
    <w:rsid w:val="00CB3AD5"/>
    <w:rsid w:val="00CD0121"/>
    <w:rsid w:val="00CE4D1C"/>
    <w:rsid w:val="00CE52F2"/>
    <w:rsid w:val="00CF38D0"/>
    <w:rsid w:val="00D1219E"/>
    <w:rsid w:val="00D16B55"/>
    <w:rsid w:val="00D3232E"/>
    <w:rsid w:val="00D34003"/>
    <w:rsid w:val="00D341F6"/>
    <w:rsid w:val="00D34350"/>
    <w:rsid w:val="00D4149F"/>
    <w:rsid w:val="00D436BC"/>
    <w:rsid w:val="00D607B3"/>
    <w:rsid w:val="00D619F4"/>
    <w:rsid w:val="00D62980"/>
    <w:rsid w:val="00D77D47"/>
    <w:rsid w:val="00D87DC7"/>
    <w:rsid w:val="00DA6D28"/>
    <w:rsid w:val="00DB1E4D"/>
    <w:rsid w:val="00DC0786"/>
    <w:rsid w:val="00DC12F5"/>
    <w:rsid w:val="00DC5106"/>
    <w:rsid w:val="00DC5897"/>
    <w:rsid w:val="00DC6130"/>
    <w:rsid w:val="00DD2364"/>
    <w:rsid w:val="00DF6223"/>
    <w:rsid w:val="00E10F12"/>
    <w:rsid w:val="00E12985"/>
    <w:rsid w:val="00E12F1D"/>
    <w:rsid w:val="00E13547"/>
    <w:rsid w:val="00E210CB"/>
    <w:rsid w:val="00E2172F"/>
    <w:rsid w:val="00E27954"/>
    <w:rsid w:val="00E32580"/>
    <w:rsid w:val="00E41A1B"/>
    <w:rsid w:val="00E43280"/>
    <w:rsid w:val="00E7030B"/>
    <w:rsid w:val="00E916C0"/>
    <w:rsid w:val="00EA0DEE"/>
    <w:rsid w:val="00EA3F3A"/>
    <w:rsid w:val="00EC6055"/>
    <w:rsid w:val="00ED3A81"/>
    <w:rsid w:val="00EE12E6"/>
    <w:rsid w:val="00EE18B7"/>
    <w:rsid w:val="00EE6E4D"/>
    <w:rsid w:val="00EF058F"/>
    <w:rsid w:val="00F06CAB"/>
    <w:rsid w:val="00F07A9B"/>
    <w:rsid w:val="00F16919"/>
    <w:rsid w:val="00F253E7"/>
    <w:rsid w:val="00F34896"/>
    <w:rsid w:val="00F404FB"/>
    <w:rsid w:val="00F42971"/>
    <w:rsid w:val="00F45CD4"/>
    <w:rsid w:val="00F50603"/>
    <w:rsid w:val="00F50C9C"/>
    <w:rsid w:val="00F516B8"/>
    <w:rsid w:val="00F532C2"/>
    <w:rsid w:val="00F533F1"/>
    <w:rsid w:val="00F620F7"/>
    <w:rsid w:val="00F71C58"/>
    <w:rsid w:val="00F9323E"/>
    <w:rsid w:val="00F942EC"/>
    <w:rsid w:val="00FA559C"/>
    <w:rsid w:val="00FA5E56"/>
    <w:rsid w:val="00FB2185"/>
    <w:rsid w:val="00FB2C34"/>
    <w:rsid w:val="00FB53BB"/>
    <w:rsid w:val="00FB5DFF"/>
    <w:rsid w:val="00FC1A08"/>
    <w:rsid w:val="00FD20B4"/>
    <w:rsid w:val="00FD2CD4"/>
    <w:rsid w:val="00FD57D6"/>
    <w:rsid w:val="00FE39D3"/>
    <w:rsid w:val="00FE458F"/>
    <w:rsid w:val="00FE7E76"/>
    <w:rsid w:val="00FF4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EFA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Web 3" w:locked="1" w:uiPriority="0"/>
    <w:lsdException w:name="Table Grid" w:locked="1" w:semiHidden="0" w:uiPriority="0" w:unhideWhenUsed="0"/>
    <w:lsdException w:name="Table Theme"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DFF"/>
    <w:rPr>
      <w:rFonts w:ascii="Times New Roman" w:eastAsia="Times New Roman" w:hAnsi="Times New Roman"/>
      <w:sz w:val="24"/>
      <w:szCs w:val="24"/>
      <w:lang w:val="en-GB" w:eastAsia="bg-BG"/>
    </w:rPr>
  </w:style>
  <w:style w:type="paragraph" w:styleId="Heading1">
    <w:name w:val="heading 1"/>
    <w:basedOn w:val="Normal"/>
    <w:next w:val="Normal"/>
    <w:link w:val="Heading1Char"/>
    <w:uiPriority w:val="99"/>
    <w:qFormat/>
    <w:rsid w:val="00142EE8"/>
    <w:pPr>
      <w:keepNext/>
      <w:jc w:val="center"/>
      <w:outlineLvl w:val="0"/>
    </w:pPr>
    <w:rPr>
      <w:rFonts w:ascii="A4p" w:hAnsi="A4p" w:cs="A4p"/>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42EE8"/>
    <w:rPr>
      <w:rFonts w:ascii="A4p" w:hAnsi="A4p" w:cs="A4p"/>
      <w:b/>
      <w:bCs/>
      <w:sz w:val="28"/>
      <w:szCs w:val="28"/>
      <w:lang w:eastAsia="bg-BG"/>
    </w:rPr>
  </w:style>
  <w:style w:type="paragraph" w:styleId="ListParagraph">
    <w:name w:val="List Paragraph"/>
    <w:basedOn w:val="Normal"/>
    <w:uiPriority w:val="99"/>
    <w:qFormat/>
    <w:rsid w:val="00142EE8"/>
    <w:pPr>
      <w:ind w:left="720"/>
    </w:pPr>
  </w:style>
  <w:style w:type="table" w:styleId="TableGrid">
    <w:name w:val="Table Grid"/>
    <w:basedOn w:val="TableNormal"/>
    <w:uiPriority w:val="99"/>
    <w:rsid w:val="0092020B"/>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532C2"/>
    <w:pPr>
      <w:tabs>
        <w:tab w:val="center" w:pos="4536"/>
        <w:tab w:val="right" w:pos="9072"/>
      </w:tabs>
    </w:pPr>
  </w:style>
  <w:style w:type="character" w:customStyle="1" w:styleId="HeaderChar">
    <w:name w:val="Header Char"/>
    <w:basedOn w:val="DefaultParagraphFont"/>
    <w:link w:val="Header"/>
    <w:uiPriority w:val="99"/>
    <w:locked/>
    <w:rsid w:val="00F532C2"/>
    <w:rPr>
      <w:rFonts w:ascii="Times New Roman" w:hAnsi="Times New Roman" w:cs="Times New Roman"/>
      <w:sz w:val="20"/>
      <w:szCs w:val="20"/>
      <w:lang w:val="en-GB" w:eastAsia="bg-BG"/>
    </w:rPr>
  </w:style>
  <w:style w:type="paragraph" w:styleId="Footer">
    <w:name w:val="footer"/>
    <w:basedOn w:val="Normal"/>
    <w:link w:val="FooterChar"/>
    <w:uiPriority w:val="99"/>
    <w:rsid w:val="00F532C2"/>
    <w:pPr>
      <w:tabs>
        <w:tab w:val="center" w:pos="4536"/>
        <w:tab w:val="right" w:pos="9072"/>
      </w:tabs>
    </w:pPr>
  </w:style>
  <w:style w:type="character" w:customStyle="1" w:styleId="FooterChar">
    <w:name w:val="Footer Char"/>
    <w:basedOn w:val="DefaultParagraphFont"/>
    <w:link w:val="Footer"/>
    <w:uiPriority w:val="99"/>
    <w:locked/>
    <w:rsid w:val="00F532C2"/>
    <w:rPr>
      <w:rFonts w:ascii="Times New Roman" w:hAnsi="Times New Roman" w:cs="Times New Roman"/>
      <w:sz w:val="20"/>
      <w:szCs w:val="20"/>
      <w:lang w:val="en-GB" w:eastAsia="bg-BG"/>
    </w:rPr>
  </w:style>
  <w:style w:type="paragraph" w:styleId="BalloonText">
    <w:name w:val="Balloon Text"/>
    <w:basedOn w:val="Normal"/>
    <w:link w:val="BalloonTextChar"/>
    <w:uiPriority w:val="99"/>
    <w:semiHidden/>
    <w:rsid w:val="009149E3"/>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149E3"/>
    <w:rPr>
      <w:rFonts w:ascii="Segoe UI" w:hAnsi="Segoe UI" w:cs="Segoe UI"/>
      <w:sz w:val="18"/>
      <w:szCs w:val="18"/>
      <w:lang w:val="en-GB" w:eastAsia="bg-BG"/>
    </w:rPr>
  </w:style>
  <w:style w:type="character" w:styleId="CommentReference">
    <w:name w:val="annotation reference"/>
    <w:basedOn w:val="DefaultParagraphFont"/>
    <w:uiPriority w:val="99"/>
    <w:semiHidden/>
    <w:rsid w:val="00EE18B7"/>
    <w:rPr>
      <w:sz w:val="16"/>
      <w:szCs w:val="16"/>
    </w:rPr>
  </w:style>
  <w:style w:type="paragraph" w:styleId="CommentText">
    <w:name w:val="annotation text"/>
    <w:basedOn w:val="Normal"/>
    <w:link w:val="CommentTextChar"/>
    <w:uiPriority w:val="99"/>
    <w:semiHidden/>
    <w:rsid w:val="00EE18B7"/>
    <w:rPr>
      <w:sz w:val="20"/>
      <w:szCs w:val="20"/>
    </w:rPr>
  </w:style>
  <w:style w:type="character" w:customStyle="1" w:styleId="CommentTextChar">
    <w:name w:val="Comment Text Char"/>
    <w:basedOn w:val="DefaultParagraphFont"/>
    <w:link w:val="CommentText"/>
    <w:uiPriority w:val="99"/>
    <w:semiHidden/>
    <w:locked/>
    <w:rsid w:val="00EE18B7"/>
    <w:rPr>
      <w:rFonts w:ascii="Times New Roman" w:hAnsi="Times New Roman" w:cs="Times New Roman"/>
      <w:sz w:val="20"/>
      <w:szCs w:val="20"/>
      <w:lang w:val="en-GB" w:eastAsia="bg-BG"/>
    </w:rPr>
  </w:style>
  <w:style w:type="paragraph" w:styleId="CommentSubject">
    <w:name w:val="annotation subject"/>
    <w:basedOn w:val="CommentText"/>
    <w:next w:val="CommentText"/>
    <w:link w:val="CommentSubjectChar"/>
    <w:uiPriority w:val="99"/>
    <w:semiHidden/>
    <w:rsid w:val="00EE18B7"/>
    <w:rPr>
      <w:b/>
      <w:bCs/>
    </w:rPr>
  </w:style>
  <w:style w:type="character" w:customStyle="1" w:styleId="CommentSubjectChar">
    <w:name w:val="Comment Subject Char"/>
    <w:basedOn w:val="CommentTextChar"/>
    <w:link w:val="CommentSubject"/>
    <w:uiPriority w:val="99"/>
    <w:semiHidden/>
    <w:locked/>
    <w:rsid w:val="00EE18B7"/>
    <w:rPr>
      <w:rFonts w:ascii="Times New Roman" w:hAnsi="Times New Roman" w:cs="Times New Roman"/>
      <w:b/>
      <w:bCs/>
      <w:sz w:val="20"/>
      <w:szCs w:val="20"/>
      <w:lang w:val="en-GB"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Web 3" w:locked="1" w:uiPriority="0"/>
    <w:lsdException w:name="Table Grid" w:locked="1" w:semiHidden="0" w:uiPriority="0" w:unhideWhenUsed="0"/>
    <w:lsdException w:name="Table Theme"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DFF"/>
    <w:rPr>
      <w:rFonts w:ascii="Times New Roman" w:eastAsia="Times New Roman" w:hAnsi="Times New Roman"/>
      <w:sz w:val="24"/>
      <w:szCs w:val="24"/>
      <w:lang w:val="en-GB" w:eastAsia="bg-BG"/>
    </w:rPr>
  </w:style>
  <w:style w:type="paragraph" w:styleId="Heading1">
    <w:name w:val="heading 1"/>
    <w:basedOn w:val="Normal"/>
    <w:next w:val="Normal"/>
    <w:link w:val="Heading1Char"/>
    <w:uiPriority w:val="99"/>
    <w:qFormat/>
    <w:rsid w:val="00142EE8"/>
    <w:pPr>
      <w:keepNext/>
      <w:jc w:val="center"/>
      <w:outlineLvl w:val="0"/>
    </w:pPr>
    <w:rPr>
      <w:rFonts w:ascii="A4p" w:hAnsi="A4p" w:cs="A4p"/>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42EE8"/>
    <w:rPr>
      <w:rFonts w:ascii="A4p" w:hAnsi="A4p" w:cs="A4p"/>
      <w:b/>
      <w:bCs/>
      <w:sz w:val="28"/>
      <w:szCs w:val="28"/>
      <w:lang w:eastAsia="bg-BG"/>
    </w:rPr>
  </w:style>
  <w:style w:type="paragraph" w:styleId="ListParagraph">
    <w:name w:val="List Paragraph"/>
    <w:basedOn w:val="Normal"/>
    <w:uiPriority w:val="99"/>
    <w:qFormat/>
    <w:rsid w:val="00142EE8"/>
    <w:pPr>
      <w:ind w:left="720"/>
    </w:pPr>
  </w:style>
  <w:style w:type="table" w:styleId="TableGrid">
    <w:name w:val="Table Grid"/>
    <w:basedOn w:val="TableNormal"/>
    <w:uiPriority w:val="99"/>
    <w:rsid w:val="0092020B"/>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532C2"/>
    <w:pPr>
      <w:tabs>
        <w:tab w:val="center" w:pos="4536"/>
        <w:tab w:val="right" w:pos="9072"/>
      </w:tabs>
    </w:pPr>
  </w:style>
  <w:style w:type="character" w:customStyle="1" w:styleId="HeaderChar">
    <w:name w:val="Header Char"/>
    <w:basedOn w:val="DefaultParagraphFont"/>
    <w:link w:val="Header"/>
    <w:uiPriority w:val="99"/>
    <w:locked/>
    <w:rsid w:val="00F532C2"/>
    <w:rPr>
      <w:rFonts w:ascii="Times New Roman" w:hAnsi="Times New Roman" w:cs="Times New Roman"/>
      <w:sz w:val="20"/>
      <w:szCs w:val="20"/>
      <w:lang w:val="en-GB" w:eastAsia="bg-BG"/>
    </w:rPr>
  </w:style>
  <w:style w:type="paragraph" w:styleId="Footer">
    <w:name w:val="footer"/>
    <w:basedOn w:val="Normal"/>
    <w:link w:val="FooterChar"/>
    <w:uiPriority w:val="99"/>
    <w:rsid w:val="00F532C2"/>
    <w:pPr>
      <w:tabs>
        <w:tab w:val="center" w:pos="4536"/>
        <w:tab w:val="right" w:pos="9072"/>
      </w:tabs>
    </w:pPr>
  </w:style>
  <w:style w:type="character" w:customStyle="1" w:styleId="FooterChar">
    <w:name w:val="Footer Char"/>
    <w:basedOn w:val="DefaultParagraphFont"/>
    <w:link w:val="Footer"/>
    <w:uiPriority w:val="99"/>
    <w:locked/>
    <w:rsid w:val="00F532C2"/>
    <w:rPr>
      <w:rFonts w:ascii="Times New Roman" w:hAnsi="Times New Roman" w:cs="Times New Roman"/>
      <w:sz w:val="20"/>
      <w:szCs w:val="20"/>
      <w:lang w:val="en-GB" w:eastAsia="bg-BG"/>
    </w:rPr>
  </w:style>
  <w:style w:type="paragraph" w:styleId="BalloonText">
    <w:name w:val="Balloon Text"/>
    <w:basedOn w:val="Normal"/>
    <w:link w:val="BalloonTextChar"/>
    <w:uiPriority w:val="99"/>
    <w:semiHidden/>
    <w:rsid w:val="009149E3"/>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149E3"/>
    <w:rPr>
      <w:rFonts w:ascii="Segoe UI" w:hAnsi="Segoe UI" w:cs="Segoe UI"/>
      <w:sz w:val="18"/>
      <w:szCs w:val="18"/>
      <w:lang w:val="en-GB" w:eastAsia="bg-BG"/>
    </w:rPr>
  </w:style>
  <w:style w:type="character" w:styleId="CommentReference">
    <w:name w:val="annotation reference"/>
    <w:basedOn w:val="DefaultParagraphFont"/>
    <w:uiPriority w:val="99"/>
    <w:semiHidden/>
    <w:rsid w:val="00EE18B7"/>
    <w:rPr>
      <w:sz w:val="16"/>
      <w:szCs w:val="16"/>
    </w:rPr>
  </w:style>
  <w:style w:type="paragraph" w:styleId="CommentText">
    <w:name w:val="annotation text"/>
    <w:basedOn w:val="Normal"/>
    <w:link w:val="CommentTextChar"/>
    <w:uiPriority w:val="99"/>
    <w:semiHidden/>
    <w:rsid w:val="00EE18B7"/>
    <w:rPr>
      <w:sz w:val="20"/>
      <w:szCs w:val="20"/>
    </w:rPr>
  </w:style>
  <w:style w:type="character" w:customStyle="1" w:styleId="CommentTextChar">
    <w:name w:val="Comment Text Char"/>
    <w:basedOn w:val="DefaultParagraphFont"/>
    <w:link w:val="CommentText"/>
    <w:uiPriority w:val="99"/>
    <w:semiHidden/>
    <w:locked/>
    <w:rsid w:val="00EE18B7"/>
    <w:rPr>
      <w:rFonts w:ascii="Times New Roman" w:hAnsi="Times New Roman" w:cs="Times New Roman"/>
      <w:sz w:val="20"/>
      <w:szCs w:val="20"/>
      <w:lang w:val="en-GB" w:eastAsia="bg-BG"/>
    </w:rPr>
  </w:style>
  <w:style w:type="paragraph" w:styleId="CommentSubject">
    <w:name w:val="annotation subject"/>
    <w:basedOn w:val="CommentText"/>
    <w:next w:val="CommentText"/>
    <w:link w:val="CommentSubjectChar"/>
    <w:uiPriority w:val="99"/>
    <w:semiHidden/>
    <w:rsid w:val="00EE18B7"/>
    <w:rPr>
      <w:b/>
      <w:bCs/>
    </w:rPr>
  </w:style>
  <w:style w:type="character" w:customStyle="1" w:styleId="CommentSubjectChar">
    <w:name w:val="Comment Subject Char"/>
    <w:basedOn w:val="CommentTextChar"/>
    <w:link w:val="CommentSubject"/>
    <w:uiPriority w:val="99"/>
    <w:semiHidden/>
    <w:locked/>
    <w:rsid w:val="00EE18B7"/>
    <w:rPr>
      <w:rFonts w:ascii="Times New Roman" w:hAnsi="Times New Roman" w:cs="Times New Roman"/>
      <w:b/>
      <w:bCs/>
      <w:sz w:val="20"/>
      <w:szCs w:val="20"/>
      <w:lang w:val="en-GB"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00378-C3EC-469F-864D-D80DB9C5B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2886</Words>
  <Characters>16324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UBB</Company>
  <LinksUpToDate>false</LinksUpToDate>
  <CharactersWithSpaces>19172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З. Димитрова</dc:creator>
  <cp:keywords/>
  <dc:description/>
  <cp:lastModifiedBy>Daniela Peeva</cp:lastModifiedBy>
  <cp:revision>4</cp:revision>
  <dcterms:created xsi:type="dcterms:W3CDTF">2021-07-28T14:43:00Z</dcterms:created>
  <dcterms:modified xsi:type="dcterms:W3CDTF">2021-07-29T08:07:00Z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{F90375AB-A01D-4CA7-A0E0-E3DE287C3048}</vt:lpwstr>
  </property>
  <property fmtid="{D5CDD505-2E9C-101B-9397-08002B2CF9AE}" pid="3" name="DLPManualFileClassificationLastModifiedBy">
    <vt:lpwstr>UBB\U62376</vt:lpwstr>
  </property>
  <property fmtid="{D5CDD505-2E9C-101B-9397-08002B2CF9AE}" pid="4" name="DLPManualFileClassificationLastModificationDate">
    <vt:lpwstr>1562824463</vt:lpwstr>
  </property>
  <property fmtid="{D5CDD505-2E9C-101B-9397-08002B2CF9AE}" pid="5" name="DLPManualFileClassificationVersion">
    <vt:lpwstr>11.2.0.14</vt:lpwstr>
  </property>
</Properties>
</file>