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F0ED2">
              <w:rPr>
                <w:b/>
                <w:sz w:val="22"/>
                <w:lang w:val="ru-RU"/>
              </w:rPr>
              <w:t>31.05.2022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bookmarkStart w:id="1" w:name="_GoBack"/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bookmarkEnd w:id="1"/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F0ED2" w:rsidP="00FE6FB5">
            <w:pPr>
              <w:jc w:val="center"/>
              <w:rPr>
                <w:b/>
                <w:sz w:val="22"/>
              </w:rPr>
            </w:pPr>
            <w:bookmarkStart w:id="2" w:name="EmissionnaStoinost_FundID_3_1"/>
            <w:bookmarkEnd w:id="2"/>
            <w:r>
              <w:rPr>
                <w:sz w:val="22"/>
                <w:lang w:val="ru-RU"/>
              </w:rPr>
              <w:t>70.0693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F0ED2" w:rsidP="00FE6FB5">
            <w:pPr>
              <w:jc w:val="center"/>
              <w:rPr>
                <w:b/>
                <w:sz w:val="22"/>
              </w:rPr>
            </w:pPr>
            <w:bookmarkStart w:id="3" w:name="EmissionnaStoinost_FundID_3_2"/>
            <w:bookmarkEnd w:id="3"/>
            <w:r>
              <w:rPr>
                <w:sz w:val="22"/>
                <w:lang w:val="ru-RU"/>
              </w:rPr>
              <w:t>70.0693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F0ED2" w:rsidP="00FE6FB5">
            <w:pPr>
              <w:jc w:val="center"/>
              <w:rPr>
                <w:sz w:val="22"/>
                <w:lang w:val="bg-BG"/>
              </w:rPr>
            </w:pPr>
            <w:bookmarkStart w:id="4" w:name="ObratnoIzkupuvane_FundID_3"/>
            <w:bookmarkEnd w:id="4"/>
            <w:r>
              <w:rPr>
                <w:sz w:val="22"/>
                <w:lang w:val="ru-RU"/>
              </w:rPr>
              <w:t>70.0693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F0E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3"/>
            <w:bookmarkEnd w:id="5"/>
            <w:r>
              <w:rPr>
                <w:sz w:val="22"/>
                <w:lang w:val="ru-RU"/>
              </w:rPr>
              <w:t>41 520 842.18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F0E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3F0ED2">
              <w:rPr>
                <w:b/>
                <w:sz w:val="22"/>
                <w:lang w:val="en-US"/>
              </w:rPr>
              <w:t>31.05.2022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F0ED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70.0693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F0ED2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70.0693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F0ED2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70.0693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F0E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41 520 842.18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F0E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D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0ED2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BB4A86-A609-4F74-B284-CFDAB617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0F63-0A42-40D5-9D79-1A30102D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2022-06-01T11:14:00Z</dcterms:created>
  <dcterms:modified xsi:type="dcterms:W3CDTF">2022-06-01T11:16:00Z</dcterms:modified>
</cp:coreProperties>
</file>