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05" w:rsidRPr="00E83EB6" w:rsidRDefault="001F7D05" w:rsidP="001F7D05">
      <w:pPr>
        <w:pStyle w:val="Heading1"/>
        <w:numPr>
          <w:ilvl w:val="0"/>
          <w:numId w:val="0"/>
        </w:numPr>
        <w:jc w:val="center"/>
        <w:rPr>
          <w:rFonts w:ascii="Arial Narrow" w:hAnsi="Arial Narrow"/>
          <w:szCs w:val="24"/>
          <w:lang w:val="bg-BG"/>
        </w:rPr>
      </w:pPr>
      <w:bookmarkStart w:id="0" w:name="_Toc95275306"/>
      <w:bookmarkStart w:id="1" w:name="_GoBack"/>
      <w:bookmarkEnd w:id="1"/>
      <w:r w:rsidRPr="00E83EB6">
        <w:rPr>
          <w:rFonts w:ascii="Arial Narrow" w:hAnsi="Arial Narrow"/>
          <w:szCs w:val="24"/>
          <w:lang w:val="bg-BG"/>
        </w:rPr>
        <w:t>СЧЕТОВОДНА ПОЛИТИКА</w:t>
      </w:r>
    </w:p>
    <w:p w:rsidR="001F7D05" w:rsidRDefault="001F7D05" w:rsidP="001F7D05">
      <w:pPr>
        <w:pStyle w:val="Heading1"/>
        <w:numPr>
          <w:ilvl w:val="0"/>
          <w:numId w:val="0"/>
        </w:numPr>
        <w:jc w:val="center"/>
        <w:rPr>
          <w:rFonts w:ascii="Arial Narrow" w:hAnsi="Arial Narrow"/>
          <w:szCs w:val="24"/>
          <w:lang w:val="bg-BG"/>
        </w:rPr>
      </w:pPr>
      <w:r w:rsidRPr="00E83EB6">
        <w:rPr>
          <w:rFonts w:ascii="Arial Narrow" w:hAnsi="Arial Narrow"/>
          <w:szCs w:val="24"/>
          <w:lang w:val="bg-BG"/>
        </w:rPr>
        <w:t>НА „ИНВЕСТМЪНТ ПРОПЪРТИС” АДСИЦ</w:t>
      </w:r>
    </w:p>
    <w:p w:rsidR="001F7D05" w:rsidRDefault="001F7D05" w:rsidP="001F7D05">
      <w:pPr>
        <w:jc w:val="center"/>
        <w:rPr>
          <w:rFonts w:ascii="Arial Narrow" w:hAnsi="Arial Narrow"/>
          <w:b/>
          <w:lang w:val="en-US"/>
        </w:rPr>
      </w:pPr>
      <w:r>
        <w:rPr>
          <w:rFonts w:ascii="Arial Narrow" w:hAnsi="Arial Narrow"/>
          <w:b/>
        </w:rPr>
        <w:t>Към 31 декември</w:t>
      </w:r>
      <w:r w:rsidRPr="00F222AF">
        <w:rPr>
          <w:rFonts w:ascii="Arial Narrow" w:hAnsi="Arial Narrow"/>
          <w:b/>
        </w:rPr>
        <w:t xml:space="preserve"> 201</w:t>
      </w:r>
      <w:r>
        <w:rPr>
          <w:rFonts w:ascii="Arial Narrow" w:hAnsi="Arial Narrow"/>
          <w:b/>
          <w:lang w:val="en-US"/>
        </w:rPr>
        <w:t>4</w:t>
      </w:r>
      <w:r w:rsidRPr="00F222AF">
        <w:rPr>
          <w:rFonts w:ascii="Arial Narrow" w:hAnsi="Arial Narrow"/>
          <w:b/>
        </w:rPr>
        <w:t xml:space="preserve"> година</w:t>
      </w:r>
    </w:p>
    <w:p w:rsidR="001F7D05" w:rsidRDefault="001F7D05" w:rsidP="001F7D05">
      <w:pPr>
        <w:jc w:val="center"/>
        <w:rPr>
          <w:rFonts w:ascii="Arial Narrow" w:hAnsi="Arial Narrow"/>
          <w:b/>
          <w:lang w:val="en-US"/>
        </w:rPr>
      </w:pPr>
    </w:p>
    <w:p w:rsidR="001F7D05" w:rsidRPr="00465814" w:rsidRDefault="001F7D05" w:rsidP="001F7D05">
      <w:pPr>
        <w:pStyle w:val="Heading1"/>
        <w:rPr>
          <w:rFonts w:ascii="Arial Narrow" w:hAnsi="Arial Narrow"/>
          <w:color w:val="auto"/>
          <w:lang w:val="bg-BG"/>
        </w:rPr>
      </w:pPr>
      <w:bookmarkStart w:id="2" w:name="_Toc95275305"/>
      <w:r w:rsidRPr="00465814">
        <w:rPr>
          <w:rFonts w:ascii="Arial Narrow" w:hAnsi="Arial Narrow"/>
          <w:color w:val="auto"/>
          <w:lang w:val="bg-BG"/>
        </w:rPr>
        <w:t>Обща информация</w:t>
      </w:r>
      <w:bookmarkEnd w:id="2"/>
    </w:p>
    <w:p w:rsidR="001F7D05" w:rsidRPr="00465814" w:rsidRDefault="001F7D05" w:rsidP="001F7D05">
      <w:pPr>
        <w:autoSpaceDE w:val="0"/>
        <w:autoSpaceDN w:val="0"/>
        <w:adjustRightInd w:val="0"/>
        <w:rPr>
          <w:rFonts w:ascii="Arial Narrow" w:hAnsi="Arial Narrow"/>
          <w:szCs w:val="22"/>
        </w:rPr>
      </w:pPr>
    </w:p>
    <w:p w:rsidR="001F7D05" w:rsidRPr="00AB469B" w:rsidRDefault="001F7D05" w:rsidP="001F7D05">
      <w:pPr>
        <w:ind w:firstLine="567"/>
        <w:jc w:val="both"/>
        <w:rPr>
          <w:rFonts w:ascii="Arial Narrow" w:hAnsi="Arial Narrow"/>
        </w:rPr>
      </w:pPr>
      <w:r w:rsidRPr="00465814">
        <w:rPr>
          <w:rFonts w:ascii="Arial Narrow" w:hAnsi="Arial Narrow"/>
        </w:rPr>
        <w:t xml:space="preserve"> </w:t>
      </w:r>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 xml:space="preserve">е акционерно дружество със специална инвестиционна цел за </w:t>
      </w:r>
      <w:proofErr w:type="spellStart"/>
      <w:r>
        <w:rPr>
          <w:rFonts w:ascii="Arial Narrow" w:hAnsi="Arial Narrow"/>
          <w:color w:val="000000"/>
        </w:rPr>
        <w:t>секюритизация</w:t>
      </w:r>
      <w:proofErr w:type="spellEnd"/>
      <w:r>
        <w:rPr>
          <w:rFonts w:ascii="Arial Narrow" w:hAnsi="Arial Narrow"/>
          <w:color w:val="000000"/>
        </w:rPr>
        <w:t xml:space="preserve"> на недвижими имоти, по смисъла на Закона за дружествата със специална инвестиционна цел</w:t>
      </w:r>
      <w:r w:rsidRPr="00AB469B">
        <w:rPr>
          <w:rFonts w:ascii="Arial Narrow" w:hAnsi="Arial Narrow"/>
          <w:color w:val="000000"/>
          <w:szCs w:val="22"/>
        </w:rPr>
        <w:t>.</w:t>
      </w:r>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1F7D05" w:rsidRPr="00465814" w:rsidRDefault="001F7D05" w:rsidP="001F7D05">
      <w:pPr>
        <w:jc w:val="both"/>
        <w:rPr>
          <w:rFonts w:ascii="Arial Narrow" w:hAnsi="Arial Narrow"/>
          <w:szCs w:val="22"/>
        </w:rPr>
      </w:pPr>
      <w:r w:rsidRPr="00E37202">
        <w:rPr>
          <w:lang w:val="ru-RU"/>
        </w:rPr>
        <w:t xml:space="preserve">         </w:t>
      </w: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е регистрирано като </w:t>
      </w:r>
      <w:r w:rsidRPr="001A6187">
        <w:rPr>
          <w:rFonts w:ascii="Arial Narrow" w:hAnsi="Arial Narrow"/>
          <w:color w:val="000000"/>
          <w:szCs w:val="22"/>
        </w:rPr>
        <w:t>акционерно</w:t>
      </w:r>
      <w:r w:rsidRPr="00465814">
        <w:rPr>
          <w:rFonts w:ascii="Arial Narrow" w:hAnsi="Arial Narrow"/>
          <w:szCs w:val="22"/>
        </w:rPr>
        <w:t xml:space="preserve"> дружество </w:t>
      </w:r>
      <w:r>
        <w:rPr>
          <w:rFonts w:ascii="Arial Narrow" w:hAnsi="Arial Narrow"/>
          <w:szCs w:val="22"/>
        </w:rPr>
        <w:t>със специална инвестиционна цел                                                                                                                                                                                                                                                                                                                                                                                                                                                                                                                                                                                                                                                                                                                                                                                                                                                                                                                                                                                                                                                                                                                                                                                                                                                                                                                                                                                                                                                                                                                                                                                                                                                                                                                                                                                                                                                                                                                                                                                                                                                                                                                                                                                                                                                                                                                                                                                                                                                                                                                                                                                                                                                                                                                                                                                                                                                                                                                              по фирмено дело № 11419/31.10.2003 г. на Софийски градски съд</w:t>
      </w:r>
      <w:r w:rsidRPr="00465814">
        <w:rPr>
          <w:rFonts w:ascii="Arial Narrow" w:hAnsi="Arial Narrow"/>
          <w:szCs w:val="22"/>
        </w:rPr>
        <w:t xml:space="preserve">. Седалището и адресът на управление на Дружеството е </w:t>
      </w:r>
      <w:r>
        <w:rPr>
          <w:rFonts w:ascii="Arial Narrow" w:hAnsi="Arial Narrow"/>
          <w:szCs w:val="22"/>
        </w:rPr>
        <w:t>гр.София, кв. „Витоша”, ВЕЦ-Симеоново 999.</w:t>
      </w: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Акциите на Дружеството са регистрирани на </w:t>
      </w:r>
      <w:r>
        <w:rPr>
          <w:rFonts w:ascii="Arial Narrow" w:hAnsi="Arial Narrow"/>
          <w:szCs w:val="22"/>
        </w:rPr>
        <w:t>Българската фондова</w:t>
      </w:r>
      <w:r w:rsidRPr="00465814">
        <w:rPr>
          <w:rFonts w:ascii="Arial Narrow" w:hAnsi="Arial Narrow"/>
          <w:szCs w:val="22"/>
        </w:rPr>
        <w:t xml:space="preserve"> борса.</w:t>
      </w:r>
    </w:p>
    <w:p w:rsidR="001F7D05" w:rsidRPr="00465814" w:rsidRDefault="001F7D05" w:rsidP="001F7D05">
      <w:pPr>
        <w:jc w:val="both"/>
        <w:rPr>
          <w:rFonts w:ascii="Arial Narrow" w:hAnsi="Arial Narrow"/>
          <w:b/>
          <w:bCs/>
        </w:rPr>
      </w:pPr>
    </w:p>
    <w:p w:rsidR="001F7D05" w:rsidRPr="00465814" w:rsidRDefault="001F7D05" w:rsidP="001F7D05">
      <w:pPr>
        <w:jc w:val="both"/>
        <w:rPr>
          <w:rFonts w:ascii="Arial Narrow" w:hAnsi="Arial Narrow"/>
        </w:rPr>
      </w:pPr>
      <w:r w:rsidRPr="00AB469B">
        <w:rPr>
          <w:rFonts w:ascii="Arial Narrow" w:hAnsi="Arial Narrow"/>
          <w:bCs/>
          <w:color w:val="000000"/>
        </w:rPr>
        <w:t>Дружеството има едностепенна форма на управление.</w:t>
      </w:r>
      <w:r w:rsidRPr="00AB469B">
        <w:rPr>
          <w:rFonts w:ascii="Arial Narrow" w:hAnsi="Arial Narrow"/>
        </w:rPr>
        <w:t xml:space="preserve"> </w:t>
      </w:r>
      <w:r w:rsidRPr="00B67BC7">
        <w:rPr>
          <w:rFonts w:ascii="Arial Narrow" w:hAnsi="Arial Narrow"/>
        </w:rPr>
        <w:t xml:space="preserve">Съветът на </w:t>
      </w:r>
      <w:r w:rsidRPr="00B67BC7">
        <w:rPr>
          <w:rFonts w:ascii="Arial Narrow" w:hAnsi="Arial Narrow"/>
          <w:color w:val="000000"/>
        </w:rPr>
        <w:t>директорите  е</w:t>
      </w:r>
      <w:r w:rsidRPr="00B67BC7">
        <w:rPr>
          <w:rFonts w:ascii="Arial Narrow" w:hAnsi="Arial Narrow"/>
        </w:rPr>
        <w:t xml:space="preserve"> в състав, както следва:</w:t>
      </w:r>
      <w:r w:rsidRPr="00465814">
        <w:rPr>
          <w:rFonts w:ascii="Arial Narrow" w:hAnsi="Arial Narrow"/>
        </w:rPr>
        <w:t xml:space="preserve"> </w:t>
      </w:r>
    </w:p>
    <w:p w:rsidR="001F7D05" w:rsidRPr="00080145" w:rsidRDefault="001F7D05" w:rsidP="001F7D05">
      <w:pPr>
        <w:ind w:firstLine="567"/>
        <w:jc w:val="both"/>
        <w:rPr>
          <w:rFonts w:ascii="Arial Narrow" w:hAnsi="Arial Narrow"/>
        </w:rPr>
      </w:pPr>
      <w:r w:rsidRPr="00080145">
        <w:rPr>
          <w:rFonts w:ascii="Arial Narrow" w:hAnsi="Arial Narrow"/>
        </w:rPr>
        <w:t xml:space="preserve">1.Виктор Ангелов </w:t>
      </w:r>
      <w:proofErr w:type="spellStart"/>
      <w:r w:rsidRPr="00080145">
        <w:rPr>
          <w:rFonts w:ascii="Arial Narrow" w:hAnsi="Arial Narrow"/>
        </w:rPr>
        <w:t>Серов</w:t>
      </w:r>
      <w:proofErr w:type="spellEnd"/>
      <w:r w:rsidRPr="00080145">
        <w:rPr>
          <w:rFonts w:ascii="Arial Narrow" w:hAnsi="Arial Narrow"/>
        </w:rPr>
        <w:t>, ЕГН 5405027060, притежаващ л.к. № 640461355  изд. на  30.06.2010г. от МВР-София.</w:t>
      </w:r>
    </w:p>
    <w:p w:rsidR="001F7D05" w:rsidRPr="00080145" w:rsidRDefault="001F7D05" w:rsidP="001F7D05">
      <w:pPr>
        <w:ind w:firstLine="567"/>
        <w:jc w:val="both"/>
        <w:rPr>
          <w:rFonts w:ascii="Arial Narrow" w:hAnsi="Arial Narrow"/>
        </w:rPr>
      </w:pPr>
      <w:r w:rsidRPr="00080145">
        <w:rPr>
          <w:rFonts w:ascii="Arial Narrow" w:hAnsi="Arial Narrow"/>
        </w:rPr>
        <w:t xml:space="preserve">2. „Ви – </w:t>
      </w:r>
      <w:proofErr w:type="spellStart"/>
      <w:r w:rsidRPr="00080145">
        <w:rPr>
          <w:rFonts w:ascii="Arial Narrow" w:hAnsi="Arial Narrow"/>
        </w:rPr>
        <w:t>Веста</w:t>
      </w:r>
      <w:proofErr w:type="spellEnd"/>
      <w:r w:rsidRPr="00080145">
        <w:rPr>
          <w:rFonts w:ascii="Arial Narrow" w:hAnsi="Arial Narrow"/>
        </w:rPr>
        <w:t xml:space="preserve">  Холдинг”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xml:space="preserve">, представлявано от Виктор Ангелов </w:t>
      </w:r>
      <w:proofErr w:type="spellStart"/>
      <w:r w:rsidRPr="00080145">
        <w:rPr>
          <w:rFonts w:ascii="Arial Narrow" w:hAnsi="Arial Narrow"/>
          <w:snapToGrid w:val="0"/>
        </w:rPr>
        <w:t>Серов</w:t>
      </w:r>
      <w:proofErr w:type="spellEnd"/>
      <w:r w:rsidRPr="00080145">
        <w:rPr>
          <w:rFonts w:ascii="Arial Narrow" w:hAnsi="Arial Narrow"/>
          <w:snapToGrid w:val="0"/>
        </w:rPr>
        <w:t>, ЕГН 5405027060</w:t>
      </w:r>
      <w:r w:rsidRPr="00080145">
        <w:rPr>
          <w:rFonts w:ascii="Arial Narrow" w:hAnsi="Arial Narrow"/>
        </w:rPr>
        <w:t>, притежаващ л.к. № 640461355,  изд. на  30.06.2010г. от МВР-София;</w:t>
      </w:r>
    </w:p>
    <w:p w:rsidR="001F7D05" w:rsidRPr="00080145" w:rsidRDefault="001F7D05" w:rsidP="001F7D05">
      <w:pPr>
        <w:ind w:firstLine="567"/>
        <w:jc w:val="both"/>
        <w:rPr>
          <w:rFonts w:ascii="Arial Narrow" w:hAnsi="Arial Narrow"/>
          <w:lang w:val="ru-RU"/>
        </w:rPr>
      </w:pPr>
      <w:r w:rsidRPr="00080145">
        <w:rPr>
          <w:rFonts w:ascii="Arial Narrow" w:hAnsi="Arial Narrow"/>
          <w:lang w:val="ru-RU"/>
        </w:rPr>
        <w:tab/>
        <w:t>3. Митьо  Петров Виделов, ЕГН 4411166525,</w:t>
      </w:r>
      <w:r w:rsidRPr="00080145">
        <w:rPr>
          <w:rFonts w:ascii="Arial Narrow" w:hAnsi="Arial Narrow"/>
          <w:snapToGrid w:val="0"/>
          <w:lang w:val="ru-RU"/>
        </w:rPr>
        <w:t xml:space="preserve"> притежаващ</w:t>
      </w:r>
      <w:r w:rsidRPr="00080145">
        <w:rPr>
          <w:rFonts w:ascii="Arial Narrow" w:hAnsi="Arial Narrow"/>
          <w:lang w:val="ru-RU"/>
        </w:rPr>
        <w:t xml:space="preserve"> л.к</w:t>
      </w:r>
      <w:r w:rsidRPr="00080145">
        <w:rPr>
          <w:rFonts w:ascii="Arial Narrow" w:hAnsi="Arial Narrow"/>
          <w:b/>
          <w:bCs/>
          <w:snapToGrid w:val="0"/>
          <w:lang w:val="ru-RU"/>
        </w:rPr>
        <w:t xml:space="preserve">. </w:t>
      </w:r>
      <w:r w:rsidRPr="00080145">
        <w:rPr>
          <w:rFonts w:ascii="Arial Narrow" w:hAnsi="Arial Narrow"/>
          <w:snapToGrid w:val="0"/>
          <w:lang w:val="ru-RU"/>
        </w:rPr>
        <w:t>№ 640105174</w:t>
      </w:r>
      <w:r w:rsidRPr="00080145">
        <w:rPr>
          <w:rFonts w:ascii="Arial Narrow" w:hAnsi="Arial Narrow"/>
          <w:b/>
          <w:bCs/>
          <w:snapToGrid w:val="0"/>
          <w:lang w:val="ru-RU"/>
        </w:rPr>
        <w:t xml:space="preserve">, </w:t>
      </w:r>
      <w:r w:rsidRPr="00080145">
        <w:rPr>
          <w:rFonts w:ascii="Arial Narrow" w:hAnsi="Arial Narrow"/>
          <w:lang w:val="ru-RU"/>
        </w:rPr>
        <w:t xml:space="preserve">изд. на  </w:t>
      </w:r>
      <w:r w:rsidRPr="00080145">
        <w:rPr>
          <w:rFonts w:ascii="Arial Narrow" w:hAnsi="Arial Narrow"/>
          <w:snapToGrid w:val="0"/>
          <w:lang w:val="ru-RU"/>
        </w:rPr>
        <w:t>24.04.2010 г.</w:t>
      </w:r>
      <w:r w:rsidRPr="00080145">
        <w:rPr>
          <w:rFonts w:ascii="Arial Narrow" w:hAnsi="Arial Narrow"/>
          <w:lang w:val="ru-RU"/>
        </w:rPr>
        <w:t>от МВР-София.</w:t>
      </w:r>
    </w:p>
    <w:p w:rsidR="001F7D05" w:rsidRPr="001F2123" w:rsidRDefault="001F7D05" w:rsidP="001F7D05">
      <w:pPr>
        <w:jc w:val="both"/>
        <w:rPr>
          <w:rFonts w:ascii="Arial Narrow" w:hAnsi="Arial Narrow"/>
          <w:bCs/>
          <w:color w:val="000000"/>
          <w:lang w:val="ru-RU"/>
        </w:rPr>
      </w:pPr>
    </w:p>
    <w:p w:rsidR="001F7D05" w:rsidRPr="00465814" w:rsidRDefault="001F7D05" w:rsidP="001F7D05">
      <w:pPr>
        <w:rPr>
          <w:rFonts w:ascii="Arial Narrow" w:hAnsi="Arial Narrow"/>
        </w:rPr>
      </w:pPr>
    </w:p>
    <w:p w:rsidR="001F7D05" w:rsidRPr="00465814" w:rsidRDefault="001F7D05" w:rsidP="001F7D05">
      <w:pPr>
        <w:pStyle w:val="Heading1"/>
        <w:rPr>
          <w:rFonts w:ascii="Arial Narrow" w:hAnsi="Arial Narrow"/>
          <w:color w:val="auto"/>
          <w:lang w:val="bg-BG"/>
        </w:rPr>
      </w:pPr>
      <w:r w:rsidRPr="00465814">
        <w:rPr>
          <w:rFonts w:ascii="Arial Narrow" w:hAnsi="Arial Narrow"/>
          <w:color w:val="auto"/>
          <w:szCs w:val="19"/>
          <w:lang w:val="bg-BG"/>
        </w:rPr>
        <w:t>Основа за изготвяне на финансовия отчет</w:t>
      </w:r>
    </w:p>
    <w:p w:rsidR="001F7D05" w:rsidRPr="00465814" w:rsidRDefault="001F7D05" w:rsidP="001F7D05">
      <w:pPr>
        <w:pStyle w:val="Header"/>
        <w:jc w:val="both"/>
        <w:rPr>
          <w:rFonts w:ascii="Arial Narrow" w:hAnsi="Arial Narrow"/>
          <w:szCs w:val="19"/>
        </w:rPr>
      </w:pPr>
    </w:p>
    <w:p w:rsidR="001F7D05" w:rsidRPr="008F412C" w:rsidRDefault="001F7D05" w:rsidP="001F7D05">
      <w:pPr>
        <w:pStyle w:val="1TEKST"/>
        <w:rPr>
          <w:sz w:val="24"/>
          <w:szCs w:val="24"/>
        </w:rPr>
      </w:pPr>
      <w:r w:rsidRPr="008F412C">
        <w:rPr>
          <w:sz w:val="24"/>
          <w:szCs w:val="24"/>
        </w:rPr>
        <w:t xml:space="preserve">Финансовият отчет на </w:t>
      </w:r>
      <w:r>
        <w:rPr>
          <w:sz w:val="24"/>
          <w:szCs w:val="24"/>
        </w:rPr>
        <w:t>“</w:t>
      </w:r>
      <w:r>
        <w:rPr>
          <w:sz w:val="24"/>
          <w:szCs w:val="24"/>
          <w:lang w:val="bg-BG"/>
        </w:rPr>
        <w:t xml:space="preserve">Инвестмънт </w:t>
      </w:r>
      <w:proofErr w:type="spellStart"/>
      <w:r>
        <w:rPr>
          <w:sz w:val="24"/>
          <w:szCs w:val="24"/>
          <w:lang w:val="bg-BG"/>
        </w:rPr>
        <w:t>Пропъртис</w:t>
      </w:r>
      <w:proofErr w:type="spellEnd"/>
      <w:r w:rsidRPr="008F412C">
        <w:rPr>
          <w:sz w:val="24"/>
          <w:szCs w:val="24"/>
        </w:rPr>
        <w:t>”АД</w:t>
      </w:r>
      <w:r>
        <w:rPr>
          <w:sz w:val="24"/>
          <w:szCs w:val="24"/>
          <w:lang w:val="bg-BG"/>
        </w:rPr>
        <w:t>СИЦ</w:t>
      </w:r>
      <w:r w:rsidRPr="008F412C">
        <w:rPr>
          <w:sz w:val="24"/>
          <w:szCs w:val="24"/>
        </w:rPr>
        <w:t xml:space="preserve"> е изготвен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 които ефективно са в сила от 1 Януари 2014 г. и са приети от Европейската комисия.</w:t>
      </w:r>
    </w:p>
    <w:p w:rsidR="001F7D05" w:rsidRPr="008F412C" w:rsidRDefault="001F7D05" w:rsidP="001F7D05">
      <w:pPr>
        <w:pStyle w:val="1TEKST"/>
        <w:rPr>
          <w:sz w:val="24"/>
          <w:szCs w:val="24"/>
        </w:rPr>
      </w:pPr>
      <w:r w:rsidRPr="008F412C">
        <w:rPr>
          <w:sz w:val="24"/>
          <w:szCs w:val="24"/>
        </w:rPr>
        <w:t>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 и респ. от Комитета за разяснения на МСФО (КРМСФО), които са били уместни за неговата дейност.</w:t>
      </w:r>
    </w:p>
    <w:p w:rsidR="001F7D05" w:rsidRPr="008F412C" w:rsidRDefault="001F7D05" w:rsidP="001F7D05">
      <w:pPr>
        <w:pStyle w:val="1TEKST"/>
        <w:rPr>
          <w:sz w:val="24"/>
          <w:szCs w:val="24"/>
        </w:rPr>
      </w:pPr>
      <w:r w:rsidRPr="008F412C">
        <w:rPr>
          <w:sz w:val="24"/>
          <w:szCs w:val="24"/>
        </w:rPr>
        <w:t xml:space="preserve">От възприемането на стандартите и тълкуванията, които ефективно са в сила за отчетни периоди, започващи на или след 1 Януари 2014 г., не са настъпили промени в счетоводната политика на </w:t>
      </w:r>
      <w:r w:rsidRPr="008F412C">
        <w:rPr>
          <w:sz w:val="24"/>
          <w:szCs w:val="24"/>
        </w:rPr>
        <w:lastRenderedPageBreak/>
        <w:t>Дружеството, освен  въвеждането на някои нови и разширяването на вече установени оповестявания, без това да води до промени в класификацията или оценката на отделни отчетни обекти, с изключение на оценките, отнасящи се за дълготрайните активи на дружеството.</w:t>
      </w:r>
    </w:p>
    <w:p w:rsidR="001F7D05" w:rsidRPr="008F412C" w:rsidRDefault="001F7D05" w:rsidP="001F7D05">
      <w:pPr>
        <w:pStyle w:val="1TEKST"/>
        <w:rPr>
          <w:sz w:val="24"/>
          <w:szCs w:val="24"/>
          <w:lang w:eastAsia="bg-BG"/>
        </w:rPr>
      </w:pPr>
      <w:r w:rsidRPr="008F412C">
        <w:rPr>
          <w:sz w:val="24"/>
          <w:szCs w:val="24"/>
          <w:lang w:eastAsia="bg-BG"/>
        </w:rPr>
        <w:t>Към датата на издаване за одобряване на този финансов отчет са издадени, но не са все още в сила за годишни периоди, започващи на 1 януари 2014 г., няколко нови стандарти и разяснения, както и променени стандарти и разяснения, които не са били приети за по-ранно приложение от дружеството. От тях ръководството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на дружеството за следващи периоди, а именно:</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МСС 27 (изменен 2011 г.) Самостоятелни финансови отчети (в сила за годишни периоди от </w:t>
      </w:r>
      <w:r w:rsidRPr="008F412C">
        <w:rPr>
          <w:rFonts w:ascii="Arial Narrow" w:hAnsi="Arial Narrow"/>
          <w:i/>
          <w:iCs/>
          <w:lang w:eastAsia="bg-BG"/>
        </w:rPr>
        <w:t>01.</w:t>
      </w:r>
      <w:proofErr w:type="spellStart"/>
      <w:r w:rsidRPr="008F412C">
        <w:rPr>
          <w:rFonts w:ascii="Arial Narrow" w:hAnsi="Arial Narrow"/>
          <w:i/>
          <w:iCs/>
          <w:lang w:eastAsia="bg-BG"/>
        </w:rPr>
        <w:t>01</w:t>
      </w:r>
      <w:proofErr w:type="spellEnd"/>
      <w:r w:rsidRPr="008F412C">
        <w:rPr>
          <w:rFonts w:ascii="Arial Narrow" w:hAnsi="Arial Narrow"/>
          <w:i/>
          <w:iCs/>
          <w:lang w:eastAsia="bg-BG"/>
        </w:rPr>
        <w:t>.2013 г. – приет от ЕК – за задължително прилагане в Европейския съюз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.2014 г</w:t>
      </w:r>
      <w:r w:rsidRPr="008F412C">
        <w:rPr>
          <w:rFonts w:ascii="Arial Narrow" w:hAnsi="Arial Narrow"/>
          <w:lang w:eastAsia="bg-BG"/>
        </w:rPr>
        <w:t xml:space="preserve">.). Стандартът е преиздаден с променено наименование, като частта от него, която е съдържала рамката относно съдържанието, критериите и технологията на изготвяне на консолидираните финансови отчети, е изцяло обособена в нов стандарт – МСФО 10 Консолидирани финансови отчети. По този начин в стандарта основно са останали правилата за отчитане и оценяване на инвестиции в дъщерни, асоциирани и съвместни предприятия на ниво самостоятелни отчети на инвеститори в качеството им на дружества-майки, инвеститори със значително влияние и контролиращи </w:t>
      </w:r>
      <w:proofErr w:type="spellStart"/>
      <w:r w:rsidRPr="008F412C">
        <w:rPr>
          <w:rFonts w:ascii="Arial Narrow" w:hAnsi="Arial Narrow"/>
          <w:lang w:eastAsia="bg-BG"/>
        </w:rPr>
        <w:t>съдружници</w:t>
      </w:r>
      <w:proofErr w:type="spellEnd"/>
      <w:r w:rsidRPr="008F412C">
        <w:rPr>
          <w:rFonts w:ascii="Arial Narrow" w:hAnsi="Arial Narrow"/>
          <w:lang w:eastAsia="bg-BG"/>
        </w:rPr>
        <w:t xml:space="preserve"> в съвместни предприятия, както и специфичните за този тип отчети оповестявания;</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МСС 28 (изменен 2011 г.) Инвестиции в асоциирани и съвместни предприятия –(в сила за </w:t>
      </w:r>
      <w:r w:rsidRPr="008F412C">
        <w:rPr>
          <w:rFonts w:ascii="Arial Narrow" w:hAnsi="Arial Narrow"/>
          <w:i/>
          <w:iCs/>
          <w:lang w:eastAsia="bg-BG"/>
        </w:rPr>
        <w:t>годишни периоди от 01.</w:t>
      </w:r>
      <w:proofErr w:type="spellStart"/>
      <w:r w:rsidRPr="008F412C">
        <w:rPr>
          <w:rFonts w:ascii="Arial Narrow" w:hAnsi="Arial Narrow"/>
          <w:i/>
          <w:iCs/>
          <w:lang w:eastAsia="bg-BG"/>
        </w:rPr>
        <w:t>01</w:t>
      </w:r>
      <w:proofErr w:type="spellEnd"/>
      <w:r w:rsidRPr="008F412C">
        <w:rPr>
          <w:rFonts w:ascii="Arial Narrow" w:hAnsi="Arial Narrow"/>
          <w:i/>
          <w:iCs/>
          <w:lang w:eastAsia="bg-BG"/>
        </w:rPr>
        <w:t>.2013 г. – приет от ЕК - за задължително прилагане в Европейския съюз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.2014 г.)</w:t>
      </w:r>
      <w:r w:rsidRPr="008F412C">
        <w:rPr>
          <w:rFonts w:ascii="Arial Narrow" w:hAnsi="Arial Narrow"/>
          <w:lang w:eastAsia="bg-BG"/>
        </w:rPr>
        <w:t>. Стандартът е с променено наименование и обхват и включва рамката за отчитане по метода на собствения капитал в консолидираните финансови отчети както на инвестициите в асоциираните, така и в съвместните предприятия, които досега са били под обхвата на МСС 31 Съвместни предприятия, а от 01.</w:t>
      </w:r>
      <w:proofErr w:type="spellStart"/>
      <w:r w:rsidRPr="008F412C">
        <w:rPr>
          <w:rFonts w:ascii="Arial Narrow" w:hAnsi="Arial Narrow"/>
          <w:lang w:eastAsia="bg-BG"/>
        </w:rPr>
        <w:t>01</w:t>
      </w:r>
      <w:proofErr w:type="spellEnd"/>
      <w:r w:rsidRPr="008F412C">
        <w:rPr>
          <w:rFonts w:ascii="Arial Narrow" w:hAnsi="Arial Narrow"/>
          <w:lang w:eastAsia="bg-BG"/>
        </w:rPr>
        <w:t>.2013 г. в съответствие с новия МСФО 11;</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МСС 32 (променен) Финансови инструменти: Представяне (в сила за годишни периоди от </w:t>
      </w:r>
      <w:r w:rsidRPr="008F412C">
        <w:rPr>
          <w:rFonts w:ascii="Arial Narrow" w:hAnsi="Arial Narrow"/>
          <w:i/>
          <w:iCs/>
          <w:lang w:eastAsia="bg-BG"/>
        </w:rPr>
        <w:t>01.</w:t>
      </w:r>
      <w:proofErr w:type="spellStart"/>
      <w:r w:rsidRPr="008F412C">
        <w:rPr>
          <w:rFonts w:ascii="Arial Narrow" w:hAnsi="Arial Narrow"/>
          <w:i/>
          <w:iCs/>
          <w:lang w:eastAsia="bg-BG"/>
        </w:rPr>
        <w:t>01</w:t>
      </w:r>
      <w:proofErr w:type="spellEnd"/>
      <w:r w:rsidRPr="008F412C">
        <w:rPr>
          <w:rFonts w:ascii="Arial Narrow" w:hAnsi="Arial Narrow"/>
          <w:i/>
          <w:iCs/>
          <w:lang w:eastAsia="bg-BG"/>
        </w:rPr>
        <w:t xml:space="preserve">.2014 г. – приет от ЕК) – относно </w:t>
      </w:r>
      <w:proofErr w:type="spellStart"/>
      <w:r w:rsidRPr="008F412C">
        <w:rPr>
          <w:rFonts w:ascii="Arial Narrow" w:hAnsi="Arial Narrow"/>
          <w:i/>
          <w:iCs/>
          <w:lang w:eastAsia="bg-BG"/>
        </w:rPr>
        <w:t>нетиране</w:t>
      </w:r>
      <w:proofErr w:type="spellEnd"/>
      <w:r w:rsidRPr="008F412C">
        <w:rPr>
          <w:rFonts w:ascii="Arial Narrow" w:hAnsi="Arial Narrow"/>
          <w:i/>
          <w:iCs/>
          <w:lang w:eastAsia="bg-BG"/>
        </w:rPr>
        <w:t xml:space="preserve"> (компенсиране) на финансови активи и финансови пасиви. </w:t>
      </w:r>
      <w:r w:rsidRPr="008F412C">
        <w:rPr>
          <w:rFonts w:ascii="Arial Narrow" w:hAnsi="Arial Narrow"/>
          <w:lang w:eastAsia="bg-BG"/>
        </w:rPr>
        <w:t xml:space="preserve">Тези промени са свързани с уточнение относно приложението на правилата за </w:t>
      </w:r>
      <w:proofErr w:type="spellStart"/>
      <w:r w:rsidRPr="008F412C">
        <w:rPr>
          <w:rFonts w:ascii="Arial Narrow" w:hAnsi="Arial Narrow"/>
          <w:lang w:eastAsia="bg-BG"/>
        </w:rPr>
        <w:t>нетиране</w:t>
      </w:r>
      <w:proofErr w:type="spellEnd"/>
      <w:r w:rsidRPr="008F412C">
        <w:rPr>
          <w:rFonts w:ascii="Arial Narrow" w:hAnsi="Arial Narrow"/>
          <w:lang w:eastAsia="bg-BG"/>
        </w:rPr>
        <w:t xml:space="preserve"> на финансови инструменти. Основно те са в четири насоки: а) изясняване на значението на разбирането за „текущо законосъобразно приложимо право за </w:t>
      </w:r>
      <w:proofErr w:type="spellStart"/>
      <w:r w:rsidRPr="008F412C">
        <w:rPr>
          <w:rFonts w:ascii="Arial Narrow" w:hAnsi="Arial Narrow"/>
          <w:lang w:eastAsia="bg-BG"/>
        </w:rPr>
        <w:t>нетиране</w:t>
      </w:r>
      <w:proofErr w:type="spellEnd"/>
      <w:r w:rsidRPr="008F412C">
        <w:rPr>
          <w:rFonts w:ascii="Arial Narrow" w:hAnsi="Arial Narrow"/>
          <w:lang w:eastAsia="bg-BG"/>
        </w:rPr>
        <w:t xml:space="preserve">”; б) приложението за едновременна реализация и споразумение за уреждане; в) </w:t>
      </w:r>
      <w:proofErr w:type="spellStart"/>
      <w:r w:rsidRPr="008F412C">
        <w:rPr>
          <w:rFonts w:ascii="Arial Narrow" w:hAnsi="Arial Narrow"/>
          <w:lang w:eastAsia="bg-BG"/>
        </w:rPr>
        <w:t>нетиране</w:t>
      </w:r>
      <w:proofErr w:type="spellEnd"/>
      <w:r w:rsidRPr="008F412C">
        <w:rPr>
          <w:rFonts w:ascii="Arial Narrow" w:hAnsi="Arial Narrow"/>
          <w:lang w:eastAsia="bg-BG"/>
        </w:rPr>
        <w:t xml:space="preserve"> на суми предоставени като гаранция; г) мярката за прилагането на изискванията за </w:t>
      </w:r>
      <w:proofErr w:type="spellStart"/>
      <w:r w:rsidRPr="008F412C">
        <w:rPr>
          <w:rFonts w:ascii="Arial Narrow" w:hAnsi="Arial Narrow"/>
          <w:lang w:eastAsia="bg-BG"/>
        </w:rPr>
        <w:t>нетиране</w:t>
      </w:r>
      <w:proofErr w:type="spellEnd"/>
      <w:r w:rsidRPr="008F412C">
        <w:rPr>
          <w:rFonts w:ascii="Arial Narrow" w:hAnsi="Arial Narrow"/>
          <w:lang w:eastAsia="bg-BG"/>
        </w:rPr>
        <w:t>;</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МСФО 7 (променен) Финансови инструменти: Оповестявания – относно облекчението за </w:t>
      </w:r>
      <w:proofErr w:type="spellStart"/>
      <w:r w:rsidRPr="008F412C">
        <w:rPr>
          <w:rFonts w:ascii="Arial Narrow" w:hAnsi="Arial Narrow"/>
          <w:i/>
          <w:iCs/>
          <w:lang w:eastAsia="bg-BG"/>
        </w:rPr>
        <w:t>преизчислението</w:t>
      </w:r>
      <w:proofErr w:type="spellEnd"/>
      <w:r w:rsidRPr="008F412C">
        <w:rPr>
          <w:rFonts w:ascii="Arial Narrow" w:hAnsi="Arial Narrow"/>
          <w:i/>
          <w:iCs/>
          <w:lang w:eastAsia="bg-BG"/>
        </w:rPr>
        <w:t xml:space="preserve"> на сравнителни периоди и свързаните с тях оповестявания при прилагането на МСФО 9 (отложена е датата на влизане в сила за 01.</w:t>
      </w:r>
      <w:proofErr w:type="spellStart"/>
      <w:r w:rsidRPr="008F412C">
        <w:rPr>
          <w:rFonts w:ascii="Arial Narrow" w:hAnsi="Arial Narrow"/>
          <w:i/>
          <w:iCs/>
          <w:lang w:eastAsia="bg-BG"/>
        </w:rPr>
        <w:t>01</w:t>
      </w:r>
      <w:proofErr w:type="spellEnd"/>
      <w:r w:rsidRPr="008F412C">
        <w:rPr>
          <w:rFonts w:ascii="Arial Narrow" w:hAnsi="Arial Narrow"/>
          <w:i/>
          <w:iCs/>
          <w:lang w:eastAsia="bg-BG"/>
        </w:rPr>
        <w:t xml:space="preserve">.2015 г. и не е приет от ЕК). </w:t>
      </w:r>
      <w:r w:rsidRPr="008F412C">
        <w:rPr>
          <w:rFonts w:ascii="Arial Narrow" w:hAnsi="Arial Narrow"/>
          <w:lang w:eastAsia="bg-BG"/>
        </w:rPr>
        <w:t xml:space="preserve">Промяната е свързана с въвеждане на облекчение относно необходимостта от </w:t>
      </w:r>
      <w:proofErr w:type="spellStart"/>
      <w:r w:rsidRPr="008F412C">
        <w:rPr>
          <w:rFonts w:ascii="Arial Narrow" w:hAnsi="Arial Narrow"/>
          <w:lang w:eastAsia="bg-BG"/>
        </w:rPr>
        <w:t>преизчисление</w:t>
      </w:r>
      <w:proofErr w:type="spellEnd"/>
      <w:r w:rsidRPr="008F412C">
        <w:rPr>
          <w:rFonts w:ascii="Arial Narrow" w:hAnsi="Arial Narrow"/>
          <w:lang w:eastAsia="bg-BG"/>
        </w:rPr>
        <w:t xml:space="preserve"> на сравнителните финансови отчети и възможността за предоставяне на модифицирани оповестявания при преминаването от МСС 39 към МСФО 9 (когато това се случи) според датата на прилагане на </w:t>
      </w:r>
      <w:r w:rsidRPr="008F412C">
        <w:rPr>
          <w:rFonts w:ascii="Arial Narrow" w:hAnsi="Arial Narrow"/>
          <w:lang w:eastAsia="bg-BG"/>
        </w:rPr>
        <w:lastRenderedPageBreak/>
        <w:t xml:space="preserve">стандарта от дружеството и дали то избира опцията да </w:t>
      </w:r>
      <w:proofErr w:type="spellStart"/>
      <w:r w:rsidRPr="008F412C">
        <w:rPr>
          <w:rFonts w:ascii="Arial Narrow" w:hAnsi="Arial Narrow"/>
          <w:lang w:eastAsia="bg-BG"/>
        </w:rPr>
        <w:t>преизчисли</w:t>
      </w:r>
      <w:proofErr w:type="spellEnd"/>
      <w:r w:rsidRPr="008F412C">
        <w:rPr>
          <w:rFonts w:ascii="Arial Narrow" w:hAnsi="Arial Narrow"/>
          <w:lang w:eastAsia="bg-BG"/>
        </w:rPr>
        <w:t xml:space="preserve"> предходни периоди;</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МСФО 9 Финансови инструменти (отложена е датата на влизане в сила за 01.</w:t>
      </w:r>
      <w:proofErr w:type="spellStart"/>
      <w:r w:rsidRPr="008F412C">
        <w:rPr>
          <w:rFonts w:ascii="Arial Narrow" w:hAnsi="Arial Narrow"/>
          <w:lang w:eastAsia="bg-BG"/>
        </w:rPr>
        <w:t>01</w:t>
      </w:r>
      <w:proofErr w:type="spellEnd"/>
      <w:r w:rsidRPr="008F412C">
        <w:rPr>
          <w:rFonts w:ascii="Arial Narrow" w:hAnsi="Arial Narrow"/>
          <w:lang w:eastAsia="bg-BG"/>
        </w:rPr>
        <w:t xml:space="preserve">.2015 г. и </w:t>
      </w:r>
      <w:r w:rsidRPr="008F412C">
        <w:rPr>
          <w:rFonts w:ascii="Arial Narrow" w:hAnsi="Arial Narrow"/>
          <w:i/>
          <w:iCs/>
          <w:lang w:eastAsia="bg-BG"/>
        </w:rPr>
        <w:t>не е приет от ЕК)</w:t>
      </w:r>
      <w:r w:rsidRPr="008F412C">
        <w:rPr>
          <w:rFonts w:ascii="Arial Narrow" w:hAnsi="Arial Narrow"/>
          <w:lang w:eastAsia="bg-BG"/>
        </w:rPr>
        <w:t xml:space="preserve">. Този стандарт е нов стандарт за финансовите инструменти и крайното му предназначение е да замести изцялоМСС39. Проектът на подмяната с новия стандарт предвижда три фази: фаза 1 Класификация и оценяване на финансовите активи и пасиви; фаза 2 Методология на определяне на </w:t>
      </w:r>
      <w:proofErr w:type="spellStart"/>
      <w:r w:rsidRPr="008F412C">
        <w:rPr>
          <w:rFonts w:ascii="Arial Narrow" w:hAnsi="Arial Narrow"/>
          <w:lang w:eastAsia="bg-BG"/>
        </w:rPr>
        <w:t>обезценката</w:t>
      </w:r>
      <w:proofErr w:type="spellEnd"/>
      <w:r w:rsidRPr="008F412C">
        <w:rPr>
          <w:rFonts w:ascii="Arial Narrow" w:hAnsi="Arial Narrow"/>
          <w:lang w:eastAsia="bg-BG"/>
        </w:rPr>
        <w:t xml:space="preserve">; и фаза 3 Счетоводно отчитане на </w:t>
      </w:r>
      <w:proofErr w:type="spellStart"/>
      <w:r w:rsidRPr="008F412C">
        <w:rPr>
          <w:rFonts w:ascii="Arial Narrow" w:hAnsi="Arial Narrow"/>
          <w:lang w:eastAsia="bg-BG"/>
        </w:rPr>
        <w:t>хеджирането</w:t>
      </w:r>
      <w:proofErr w:type="spellEnd"/>
      <w:r w:rsidRPr="008F412C">
        <w:rPr>
          <w:rFonts w:ascii="Arial Narrow" w:hAnsi="Arial Narrow"/>
          <w:lang w:eastAsia="bg-BG"/>
        </w:rPr>
        <w:t>.</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МСФО 10 Консолидирани финансови отчети (в сила за годишни периоди от 1.01.2013 г. – </w:t>
      </w:r>
      <w:r w:rsidRPr="008F412C">
        <w:rPr>
          <w:rFonts w:ascii="Arial Narrow" w:hAnsi="Arial Narrow"/>
          <w:i/>
          <w:iCs/>
          <w:lang w:eastAsia="bg-BG"/>
        </w:rPr>
        <w:t>приет от ЕК - за задължително прилагане в Европейския съюз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.2014 г.). Преходни разпоредби (в сила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 xml:space="preserve">.2013 г. – приети от ЕК) </w:t>
      </w:r>
      <w:r w:rsidRPr="008F412C">
        <w:rPr>
          <w:rFonts w:ascii="Arial Narrow" w:hAnsi="Arial Narrow"/>
          <w:lang w:eastAsia="bg-BG"/>
        </w:rPr>
        <w:t>– относно прилагането на стандарта за първи път. Този стандарт заменя в значителната му част стария МСС 27 (Консолидирани и индивидуални финансови отчети) и ПКР Разяснение 12 (Консолидация – предприятия със специално предназначение). Основната му цел е да се установят подобрени принципите и начина на изготвяне и представяне на финансови отчети, когато едно предприятие контролира едно или повече други предприятия. Той дава ново определение на понятието „контрол”, съдържащо три компонента, определя контролът като единства база за консолидация и дава по-подробни правила и насоки за оценяване на наличието на отношения на контрол. Стандартът установява и основните задължителни правила по технологията на изготвянето на консолидирани финансови отчети;</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МСФО 11 Съвместни споразумения (в сила за годишни периоди от 1.01.2013 г. – приет от </w:t>
      </w:r>
      <w:r w:rsidRPr="008F412C">
        <w:rPr>
          <w:rFonts w:ascii="Arial Narrow" w:hAnsi="Arial Narrow"/>
          <w:i/>
          <w:iCs/>
          <w:lang w:eastAsia="bg-BG"/>
        </w:rPr>
        <w:t>ЕК - за задължително прилагане в Европейския съюз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.2014 г.) Преходни разпоредби (в сила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 xml:space="preserve">.2013 г. – приети от ЕК) – относно прилагането на стандарта за първи път. </w:t>
      </w:r>
      <w:r w:rsidRPr="008F412C">
        <w:rPr>
          <w:rFonts w:ascii="Arial Narrow" w:hAnsi="Arial Narrow"/>
          <w:lang w:eastAsia="bg-BG"/>
        </w:rPr>
        <w:t xml:space="preserve">Този стандарт заменя МСС 31 Дялове в съвместни предприятия, вкл. и ПКР 13 Съвместно контролирани предприятия – непарични вноски от контролиращите </w:t>
      </w:r>
      <w:proofErr w:type="spellStart"/>
      <w:r w:rsidRPr="008F412C">
        <w:rPr>
          <w:rFonts w:ascii="Arial Narrow" w:hAnsi="Arial Narrow"/>
          <w:lang w:eastAsia="bg-BG"/>
        </w:rPr>
        <w:t>съдружници</w:t>
      </w:r>
      <w:proofErr w:type="spellEnd"/>
      <w:r w:rsidRPr="008F412C">
        <w:rPr>
          <w:rFonts w:ascii="Arial Narrow" w:hAnsi="Arial Narrow"/>
          <w:lang w:eastAsia="bg-BG"/>
        </w:rPr>
        <w:t>. Той въвежда само два типа съвместни споразумения – съвместни дейности и съвместни дружества, като установеният критерий за класификация не е правната форма, а същността на правата и задълженията на всяка страна в конкретното споразумение, т.е. дали са права върху активите и пасивите, респ. разходите и приходите от съвместното споразумение /съвместна дейност/, или са права върху нетните активи от съвместното споразумение /съвместно дружество/. Стандартът премахва опцията за прилагане на метода на пропорционална консолидация и налага ползването на метода на собствения капитал при консолидация на съвместно контролирани дружества;</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МСФО 12 Оповестяване на участия в други предприятия (в сила за годишни периоди от </w:t>
      </w:r>
      <w:r w:rsidRPr="008F412C">
        <w:rPr>
          <w:rFonts w:ascii="Arial Narrow" w:hAnsi="Arial Narrow"/>
          <w:i/>
          <w:iCs/>
          <w:lang w:eastAsia="bg-BG"/>
        </w:rPr>
        <w:t>1.01.2013 г</w:t>
      </w:r>
      <w:r w:rsidRPr="008F412C">
        <w:rPr>
          <w:rFonts w:ascii="Arial Narrow" w:hAnsi="Arial Narrow"/>
          <w:b/>
          <w:bCs/>
          <w:i/>
          <w:iCs/>
          <w:lang w:eastAsia="bg-BG"/>
        </w:rPr>
        <w:t xml:space="preserve">. </w:t>
      </w:r>
      <w:r w:rsidRPr="008F412C">
        <w:rPr>
          <w:rFonts w:ascii="Arial Narrow" w:hAnsi="Arial Narrow"/>
          <w:i/>
          <w:iCs/>
          <w:lang w:eastAsia="bg-BG"/>
        </w:rPr>
        <w:t>– приет от ЕК - за задължително прилагане в Европейския съюз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.2014 г.). Преходни разпоредби (в сила за годишни периоди, започващи на или след 01.</w:t>
      </w:r>
      <w:proofErr w:type="spellStart"/>
      <w:r w:rsidRPr="008F412C">
        <w:rPr>
          <w:rFonts w:ascii="Arial Narrow" w:hAnsi="Arial Narrow"/>
          <w:i/>
          <w:iCs/>
          <w:lang w:eastAsia="bg-BG"/>
        </w:rPr>
        <w:t>01</w:t>
      </w:r>
      <w:proofErr w:type="spellEnd"/>
      <w:r w:rsidRPr="008F412C">
        <w:rPr>
          <w:rFonts w:ascii="Arial Narrow" w:hAnsi="Arial Narrow"/>
          <w:i/>
          <w:iCs/>
          <w:lang w:eastAsia="bg-BG"/>
        </w:rPr>
        <w:t xml:space="preserve">.2013 г. – приети от ЕК) – относно прилагането на стандарта за първи път. </w:t>
      </w:r>
      <w:r w:rsidRPr="008F412C">
        <w:rPr>
          <w:rFonts w:ascii="Arial Narrow" w:hAnsi="Arial Narrow"/>
          <w:lang w:eastAsia="bg-BG"/>
        </w:rPr>
        <w:t xml:space="preserve">Този стандарт въвежда нова рамка от изисквания към обхвата на </w:t>
      </w:r>
      <w:proofErr w:type="spellStart"/>
      <w:r w:rsidRPr="008F412C">
        <w:rPr>
          <w:rFonts w:ascii="Arial Narrow" w:hAnsi="Arial Narrow"/>
          <w:lang w:eastAsia="bg-BG"/>
        </w:rPr>
        <w:t>оповестяванията</w:t>
      </w:r>
      <w:proofErr w:type="spellEnd"/>
      <w:r w:rsidRPr="008F412C">
        <w:rPr>
          <w:rFonts w:ascii="Arial Narrow" w:hAnsi="Arial Narrow"/>
          <w:lang w:eastAsia="bg-BG"/>
        </w:rPr>
        <w:t xml:space="preserve"> в консолидираните финансови отчети относно участията на отчитащото се предприятие в други дружества и предприятия, които са дъщерни, асоциирани съвместни, или неконсолидирани структурни предприятия, вкл. към съдържанието на информацията, за да се осигури възможност да разумна преценка на ефектите и рисковете от тези участия;</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lastRenderedPageBreak/>
        <w:t xml:space="preserve">МСС 36 (променен) </w:t>
      </w:r>
      <w:proofErr w:type="spellStart"/>
      <w:r w:rsidRPr="008F412C">
        <w:rPr>
          <w:rFonts w:ascii="Arial Narrow" w:hAnsi="Arial Narrow"/>
          <w:lang w:eastAsia="bg-BG"/>
        </w:rPr>
        <w:t>Обезценка</w:t>
      </w:r>
      <w:proofErr w:type="spellEnd"/>
      <w:r w:rsidRPr="008F412C">
        <w:rPr>
          <w:rFonts w:ascii="Arial Narrow" w:hAnsi="Arial Narrow"/>
          <w:lang w:eastAsia="bg-BG"/>
        </w:rPr>
        <w:t xml:space="preserve"> на активи (в сила за годишни периоди от 1.01.2014 г. – </w:t>
      </w:r>
      <w:r w:rsidRPr="008F412C">
        <w:rPr>
          <w:rFonts w:ascii="Arial Narrow" w:hAnsi="Arial Narrow"/>
          <w:i/>
          <w:iCs/>
          <w:lang w:eastAsia="bg-BG"/>
        </w:rPr>
        <w:t>приет от ЕК) – относно оповестявания за възстановимата стойност на нефинансови активи)</w:t>
      </w:r>
      <w:r w:rsidRPr="008F412C">
        <w:rPr>
          <w:rFonts w:ascii="Arial Narrow" w:hAnsi="Arial Narrow"/>
          <w:lang w:eastAsia="bg-BG"/>
        </w:rPr>
        <w:t>. Тази промяна е свързана с необходимостта от лимитиране на определени оповестявания относно възстановимата стойност по реда на МСС36 във връзка с изискванията на МСФО 13, при прилагането на методики за изчисление възстановима стойност на нефинансови активи по справедлива стойност без разходи за продажба;</w:t>
      </w:r>
    </w:p>
    <w:p w:rsidR="001F7D05" w:rsidRPr="008F412C" w:rsidRDefault="001F7D05" w:rsidP="001F7D05">
      <w:pPr>
        <w:pStyle w:val="Style1"/>
        <w:tabs>
          <w:tab w:val="clear" w:pos="340"/>
          <w:tab w:val="left" w:pos="993"/>
        </w:tabs>
        <w:spacing w:before="80"/>
        <w:ind w:left="0" w:firstLine="709"/>
        <w:rPr>
          <w:rFonts w:ascii="Arial Narrow" w:hAnsi="Arial Narrow"/>
          <w:i/>
          <w:iCs/>
          <w:lang w:eastAsia="bg-BG"/>
        </w:rPr>
      </w:pPr>
      <w:r w:rsidRPr="008F412C">
        <w:rPr>
          <w:rFonts w:ascii="Arial Narrow" w:hAnsi="Arial Narrow"/>
          <w:lang w:eastAsia="bg-BG"/>
        </w:rPr>
        <w:t xml:space="preserve"> Годишни подобрения в МСФО Цикъл 2010-2012 (м.декември 2013) - подобрения в МСФО 2, МСФО 3, </w:t>
      </w:r>
      <w:r w:rsidRPr="008F412C">
        <w:rPr>
          <w:rFonts w:ascii="Arial Narrow" w:hAnsi="Arial Narrow"/>
          <w:i/>
          <w:iCs/>
          <w:lang w:eastAsia="bg-BG"/>
        </w:rPr>
        <w:t>МСФО 8, МСФО 13, МСС 16, МСС 24, МСС 38 (в сила за годишни периоди от 01.07.2014 г. – не са приети от ЕК).</w:t>
      </w:r>
    </w:p>
    <w:p w:rsidR="001F7D05" w:rsidRPr="008F412C" w:rsidRDefault="001F7D05" w:rsidP="001F7D05">
      <w:pPr>
        <w:pStyle w:val="Style1"/>
        <w:tabs>
          <w:tab w:val="clear" w:pos="340"/>
          <w:tab w:val="left" w:pos="993"/>
        </w:tabs>
        <w:spacing w:before="80"/>
        <w:ind w:left="0" w:firstLine="709"/>
        <w:rPr>
          <w:rFonts w:ascii="Arial Narrow" w:hAnsi="Arial Narrow"/>
          <w:i/>
          <w:iCs/>
          <w:lang w:eastAsia="bg-BG"/>
        </w:rPr>
      </w:pPr>
      <w:r w:rsidRPr="008F412C">
        <w:rPr>
          <w:rFonts w:ascii="Arial Narrow" w:hAnsi="Arial Narrow"/>
          <w:lang w:eastAsia="bg-BG"/>
        </w:rPr>
        <w:t xml:space="preserve">Годишни подобрения в МСФО Цикъл 2011-2013 (м.декември 2013) - подобрения в МСФО 1, МСФО </w:t>
      </w:r>
      <w:r w:rsidRPr="008F412C">
        <w:rPr>
          <w:rFonts w:ascii="Arial Narrow" w:hAnsi="Arial Narrow"/>
          <w:i/>
          <w:iCs/>
          <w:lang w:eastAsia="bg-BG"/>
        </w:rPr>
        <w:t>3, МСФО 13, МСС 40 (в сила за годишни периоди от 01.07.2014 г. – не са приети от ЕК).</w:t>
      </w:r>
    </w:p>
    <w:p w:rsidR="001F7D05" w:rsidRPr="008F412C" w:rsidRDefault="001F7D05" w:rsidP="001F7D05">
      <w:pPr>
        <w:pStyle w:val="Style1"/>
        <w:tabs>
          <w:tab w:val="clear" w:pos="340"/>
          <w:tab w:val="left" w:pos="993"/>
        </w:tabs>
        <w:spacing w:before="80"/>
        <w:ind w:left="0" w:firstLine="709"/>
        <w:rPr>
          <w:rFonts w:ascii="Arial Narrow" w:hAnsi="Arial Narrow"/>
          <w:i/>
          <w:iCs/>
          <w:lang w:eastAsia="bg-BG"/>
        </w:rPr>
      </w:pPr>
      <w:r w:rsidRPr="008F412C">
        <w:rPr>
          <w:rFonts w:ascii="Arial Narrow" w:hAnsi="Arial Narrow"/>
          <w:lang w:eastAsia="bg-BG"/>
        </w:rPr>
        <w:t>Годишни подобрения в МСФО цикъл 2012 – 2014 г. (издадени месец септември 2014 г.)</w:t>
      </w:r>
    </w:p>
    <w:p w:rsidR="001F7D05" w:rsidRPr="008F412C" w:rsidRDefault="001F7D05" w:rsidP="001F7D05">
      <w:pPr>
        <w:pStyle w:val="Style1"/>
        <w:tabs>
          <w:tab w:val="clear" w:pos="340"/>
          <w:tab w:val="left" w:pos="993"/>
        </w:tabs>
        <w:spacing w:before="80" w:after="0"/>
        <w:ind w:left="0" w:firstLine="709"/>
        <w:rPr>
          <w:rFonts w:ascii="Arial Narrow" w:hAnsi="Arial Narrow"/>
          <w:lang w:eastAsia="bg-BG"/>
        </w:rPr>
      </w:pPr>
      <w:r w:rsidRPr="008F412C">
        <w:rPr>
          <w:rFonts w:ascii="Arial Narrow" w:hAnsi="Arial Narrow"/>
          <w:lang w:eastAsia="bg-BG"/>
        </w:rPr>
        <w:t xml:space="preserve">КРМСФО 21 Задължения за данъци и такси (в сила за годишни периоди от 1.01.2014 г. – не </w:t>
      </w:r>
      <w:r w:rsidRPr="008F412C">
        <w:rPr>
          <w:rFonts w:ascii="Arial Narrow" w:hAnsi="Arial Narrow"/>
          <w:i/>
          <w:iCs/>
          <w:lang w:eastAsia="bg-BG"/>
        </w:rPr>
        <w:t xml:space="preserve">е приет от ЕК) – относно налози от страна на правителството. </w:t>
      </w:r>
      <w:r w:rsidRPr="008F412C">
        <w:rPr>
          <w:rFonts w:ascii="Arial Narrow" w:hAnsi="Arial Narrow"/>
          <w:lang w:eastAsia="bg-BG"/>
        </w:rPr>
        <w:t>Това разяснение дава насоки относно критериите за признаване на задължения за държавни такси, данъци, и други подобни суми, наложени от страна на държавата във връзка със закони и регулации;</w:t>
      </w:r>
    </w:p>
    <w:p w:rsidR="001F7D05" w:rsidRPr="008F412C" w:rsidRDefault="001F7D05" w:rsidP="001F7D05">
      <w:pPr>
        <w:pStyle w:val="110"/>
        <w:numPr>
          <w:ilvl w:val="0"/>
          <w:numId w:val="0"/>
        </w:numPr>
        <w:ind w:left="578"/>
        <w:rPr>
          <w:rStyle w:val="FontStyle136"/>
          <w:b/>
          <w:bCs w:val="0"/>
          <w:i w:val="0"/>
          <w:iCs w:val="0"/>
          <w:sz w:val="24"/>
          <w:szCs w:val="24"/>
          <w:lang w:val="bg-BG"/>
        </w:rPr>
      </w:pPr>
      <w:bookmarkStart w:id="3" w:name="_Toc321656942"/>
      <w:bookmarkStart w:id="4" w:name="_Toc324673287"/>
      <w:bookmarkStart w:id="5" w:name="_Toc328565401"/>
      <w:r>
        <w:rPr>
          <w:rStyle w:val="FontStyle136"/>
          <w:b/>
          <w:bCs w:val="0"/>
          <w:i w:val="0"/>
          <w:iCs w:val="0"/>
          <w:sz w:val="24"/>
          <w:szCs w:val="24"/>
        </w:rPr>
        <w:t>2.1.</w:t>
      </w:r>
      <w:r w:rsidRPr="008F412C">
        <w:rPr>
          <w:rStyle w:val="FontStyle136"/>
          <w:b/>
          <w:bCs w:val="0"/>
          <w:i w:val="0"/>
          <w:iCs w:val="0"/>
          <w:sz w:val="24"/>
          <w:szCs w:val="24"/>
          <w:lang w:val="bg-BG"/>
        </w:rPr>
        <w:t>Основни предположения</w:t>
      </w:r>
      <w:bookmarkEnd w:id="3"/>
      <w:bookmarkEnd w:id="4"/>
      <w:bookmarkEnd w:id="5"/>
    </w:p>
    <w:p w:rsidR="001F7D05" w:rsidRPr="008F412C" w:rsidRDefault="001F7D05" w:rsidP="001F7D05">
      <w:pPr>
        <w:pStyle w:val="1TEKST"/>
        <w:rPr>
          <w:sz w:val="24"/>
          <w:szCs w:val="24"/>
        </w:rPr>
      </w:pPr>
      <w:r w:rsidRPr="008F412C">
        <w:rPr>
          <w:sz w:val="24"/>
          <w:szCs w:val="24"/>
        </w:rPr>
        <w:t>Настоящият финансов отчет на Дружеството е изготвен на база историческа цена, модифицирана в определени случаи с преоценката на някои активи и/ или пасиви по тяхната справедлива стойност към датата на съставяне на финансовия отчет като това е посочено в съответните съпровождащи бележки.</w:t>
      </w:r>
    </w:p>
    <w:p w:rsidR="001F7D05" w:rsidRPr="008F412C" w:rsidRDefault="001F7D05" w:rsidP="001F7D05">
      <w:pPr>
        <w:pStyle w:val="1TEKST"/>
        <w:rPr>
          <w:noProof/>
          <w:sz w:val="24"/>
          <w:szCs w:val="24"/>
        </w:rPr>
      </w:pPr>
      <w:r w:rsidRPr="008F412C">
        <w:rPr>
          <w:noProof/>
          <w:sz w:val="24"/>
          <w:szCs w:val="24"/>
        </w:rPr>
        <w:t>Дружеството води своите счетоводни регистри в български лев (BGN), който приема като негова отчетна валута за представяне. Данните в отчета и приложенията към него са представени в хиляди лева, освен ако нещо друго изрично не е указано.</w:t>
      </w:r>
    </w:p>
    <w:p w:rsidR="001F7D05" w:rsidRPr="008F412C" w:rsidRDefault="001F7D05" w:rsidP="001F7D05">
      <w:pPr>
        <w:pStyle w:val="1TEKST"/>
        <w:rPr>
          <w:noProof/>
          <w:sz w:val="24"/>
          <w:szCs w:val="24"/>
          <w:lang w:val="bg-BG"/>
        </w:rPr>
      </w:pPr>
      <w:r w:rsidRPr="008F412C">
        <w:rPr>
          <w:noProof/>
          <w:sz w:val="24"/>
          <w:szCs w:val="24"/>
        </w:rPr>
        <w:t>Представянето на финансов отчет съгласно Международните стандарти за финансови отчети изисква ръководството да направи най-добри приблизителни оценки, начисления и разумно обосновани предположения, които оказват ефект върху отчетените стойности на активите и пасивите, на приходите и разходите, и на оповестяването на условни вземания и задължения към датата на отчета. Тези приблизителни оценки, начисления и предположения са основани на информацията, която е налична към датата на финансовия отчет, поради което бъдещите фактически резултати биха могли да бъдат различни от тях (като в условията на финансова криза несигурностите са по-значителни). Обектите, които предполагат по-висока степен на субективна преценка или сложност, или където предположенията и  приблизителните счетоводни оценки са съществени за финансовия отчет, са оповестени</w:t>
      </w:r>
      <w:r w:rsidRPr="008F412C">
        <w:rPr>
          <w:noProof/>
          <w:sz w:val="24"/>
          <w:szCs w:val="24"/>
          <w:lang w:val="bg-BG"/>
        </w:rPr>
        <w:t>.</w:t>
      </w:r>
    </w:p>
    <w:p w:rsidR="001F7D05" w:rsidRPr="008F412C" w:rsidRDefault="001F7D05" w:rsidP="001F7D05">
      <w:pPr>
        <w:pStyle w:val="110"/>
        <w:numPr>
          <w:ilvl w:val="0"/>
          <w:numId w:val="0"/>
        </w:numPr>
        <w:ind w:left="578"/>
        <w:rPr>
          <w:rStyle w:val="FontStyle136"/>
          <w:b/>
          <w:bCs w:val="0"/>
          <w:i w:val="0"/>
          <w:iCs w:val="0"/>
          <w:sz w:val="24"/>
          <w:szCs w:val="24"/>
        </w:rPr>
      </w:pPr>
      <w:bookmarkStart w:id="6" w:name="_Toc262631533"/>
      <w:bookmarkStart w:id="7" w:name="_Toc262632146"/>
      <w:bookmarkStart w:id="8" w:name="_Toc262632559"/>
      <w:bookmarkStart w:id="9" w:name="_Toc262632860"/>
      <w:bookmarkStart w:id="10" w:name="_Toc293073241"/>
      <w:bookmarkStart w:id="11" w:name="_Toc293306036"/>
      <w:bookmarkStart w:id="12" w:name="_Toc321314570"/>
      <w:r>
        <w:rPr>
          <w:rStyle w:val="FontStyle136"/>
          <w:b/>
          <w:bCs w:val="0"/>
          <w:i w:val="0"/>
          <w:iCs w:val="0"/>
          <w:sz w:val="24"/>
          <w:szCs w:val="24"/>
        </w:rPr>
        <w:t>2.2.</w:t>
      </w:r>
      <w:r w:rsidRPr="008F412C">
        <w:rPr>
          <w:rStyle w:val="FontStyle136"/>
          <w:b/>
          <w:bCs w:val="0"/>
          <w:i w:val="0"/>
          <w:iCs w:val="0"/>
          <w:sz w:val="24"/>
          <w:szCs w:val="24"/>
        </w:rPr>
        <w:t xml:space="preserve">Консолидиран </w:t>
      </w:r>
      <w:proofErr w:type="spellStart"/>
      <w:r w:rsidRPr="008F412C">
        <w:rPr>
          <w:rStyle w:val="FontStyle136"/>
          <w:b/>
          <w:bCs w:val="0"/>
          <w:i w:val="0"/>
          <w:iCs w:val="0"/>
          <w:sz w:val="24"/>
          <w:szCs w:val="24"/>
        </w:rPr>
        <w:t>финансов</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отчет</w:t>
      </w:r>
      <w:bookmarkEnd w:id="6"/>
      <w:bookmarkEnd w:id="7"/>
      <w:bookmarkEnd w:id="8"/>
      <w:bookmarkEnd w:id="9"/>
      <w:bookmarkEnd w:id="10"/>
      <w:bookmarkEnd w:id="11"/>
      <w:bookmarkEnd w:id="12"/>
      <w:proofErr w:type="spellEnd"/>
    </w:p>
    <w:p w:rsidR="001F7D05" w:rsidRPr="008F412C" w:rsidRDefault="001F7D05" w:rsidP="001F7D05">
      <w:pPr>
        <w:pStyle w:val="1TEKST"/>
        <w:rPr>
          <w:rStyle w:val="FontStyle137"/>
          <w:sz w:val="24"/>
          <w:szCs w:val="24"/>
          <w:lang w:val="bg-BG"/>
        </w:rPr>
      </w:pPr>
      <w:r>
        <w:rPr>
          <w:rStyle w:val="FontStyle137"/>
          <w:sz w:val="24"/>
          <w:szCs w:val="24"/>
          <w:lang w:val="bg-BG"/>
        </w:rPr>
        <w:t xml:space="preserve">Инвестмънт </w:t>
      </w:r>
      <w:proofErr w:type="spellStart"/>
      <w:r>
        <w:rPr>
          <w:rStyle w:val="FontStyle137"/>
          <w:sz w:val="24"/>
          <w:szCs w:val="24"/>
          <w:lang w:val="bg-BG"/>
        </w:rPr>
        <w:t>Пропъртис</w:t>
      </w:r>
      <w:proofErr w:type="spellEnd"/>
      <w:r>
        <w:rPr>
          <w:rStyle w:val="FontStyle137"/>
          <w:sz w:val="24"/>
          <w:szCs w:val="24"/>
          <w:lang w:val="bg-BG"/>
        </w:rPr>
        <w:t xml:space="preserve"> АДСИЦ</w:t>
      </w:r>
      <w:r w:rsidRPr="008F412C">
        <w:rPr>
          <w:rStyle w:val="FontStyle137"/>
          <w:sz w:val="24"/>
          <w:szCs w:val="24"/>
        </w:rPr>
        <w:t xml:space="preserve"> не съставя консолидиран финансов отчет. Настоя</w:t>
      </w:r>
      <w:r w:rsidRPr="008F412C">
        <w:rPr>
          <w:rStyle w:val="FontStyle137"/>
          <w:sz w:val="24"/>
          <w:szCs w:val="24"/>
          <w:lang w:val="bg-BG"/>
        </w:rPr>
        <w:t>щ</w:t>
      </w:r>
      <w:r w:rsidRPr="008F412C">
        <w:rPr>
          <w:rStyle w:val="FontStyle137"/>
          <w:sz w:val="24"/>
          <w:szCs w:val="24"/>
        </w:rPr>
        <w:t xml:space="preserve">ият </w:t>
      </w:r>
      <w:r w:rsidRPr="008F412C">
        <w:rPr>
          <w:rStyle w:val="FontStyle137"/>
          <w:sz w:val="24"/>
          <w:szCs w:val="24"/>
        </w:rPr>
        <w:lastRenderedPageBreak/>
        <w:t xml:space="preserve">финансов отчет на дружеството за 2014 г. </w:t>
      </w:r>
      <w:r w:rsidRPr="008F412C">
        <w:rPr>
          <w:rStyle w:val="FontStyle137"/>
          <w:sz w:val="24"/>
          <w:szCs w:val="24"/>
          <w:lang w:val="bg-BG"/>
        </w:rPr>
        <w:t>щ</w:t>
      </w:r>
      <w:r w:rsidRPr="008F412C">
        <w:rPr>
          <w:rStyle w:val="FontStyle137"/>
          <w:sz w:val="24"/>
          <w:szCs w:val="24"/>
        </w:rPr>
        <w:t xml:space="preserve">е бъде консолидиран във финансовите отчети към групата на </w:t>
      </w:r>
      <w:r w:rsidRPr="008F412C">
        <w:rPr>
          <w:rStyle w:val="FontStyle137"/>
          <w:sz w:val="24"/>
          <w:szCs w:val="24"/>
          <w:lang w:val="bg-BG"/>
        </w:rPr>
        <w:t xml:space="preserve">Ви </w:t>
      </w:r>
      <w:proofErr w:type="spellStart"/>
      <w:r w:rsidRPr="008F412C">
        <w:rPr>
          <w:rStyle w:val="FontStyle137"/>
          <w:sz w:val="24"/>
          <w:szCs w:val="24"/>
          <w:lang w:val="bg-BG"/>
        </w:rPr>
        <w:t>Веста</w:t>
      </w:r>
      <w:proofErr w:type="spellEnd"/>
      <w:r w:rsidRPr="008F412C">
        <w:rPr>
          <w:rStyle w:val="FontStyle137"/>
          <w:sz w:val="24"/>
          <w:szCs w:val="24"/>
          <w:lang w:val="bg-BG"/>
        </w:rPr>
        <w:t xml:space="preserve"> Холдинг Е</w:t>
      </w:r>
      <w:r w:rsidRPr="008F412C">
        <w:rPr>
          <w:rStyle w:val="FontStyle137"/>
          <w:sz w:val="24"/>
          <w:szCs w:val="24"/>
        </w:rPr>
        <w:t>АД</w:t>
      </w:r>
      <w:r>
        <w:rPr>
          <w:rStyle w:val="FontStyle137"/>
          <w:sz w:val="24"/>
          <w:szCs w:val="24"/>
          <w:lang w:val="bg-BG"/>
        </w:rPr>
        <w:t>.</w:t>
      </w:r>
    </w:p>
    <w:p w:rsidR="001F7D05" w:rsidRPr="008F412C" w:rsidRDefault="001F7D05" w:rsidP="001F7D05">
      <w:pPr>
        <w:pStyle w:val="110"/>
        <w:numPr>
          <w:ilvl w:val="0"/>
          <w:numId w:val="0"/>
        </w:numPr>
        <w:ind w:left="578"/>
        <w:rPr>
          <w:rStyle w:val="FontStyle136"/>
          <w:b/>
          <w:bCs w:val="0"/>
          <w:i w:val="0"/>
          <w:iCs w:val="0"/>
          <w:sz w:val="24"/>
          <w:szCs w:val="24"/>
        </w:rPr>
      </w:pPr>
      <w:bookmarkStart w:id="13" w:name="_Toc225831132"/>
      <w:bookmarkStart w:id="14" w:name="_Toc225831208"/>
      <w:bookmarkStart w:id="15" w:name="_Toc225831332"/>
      <w:bookmarkStart w:id="16" w:name="_Toc262631534"/>
      <w:bookmarkStart w:id="17" w:name="_Toc262632147"/>
      <w:bookmarkStart w:id="18" w:name="_Toc262632560"/>
      <w:bookmarkStart w:id="19" w:name="_Toc262632861"/>
      <w:bookmarkStart w:id="20" w:name="_Toc293073242"/>
      <w:bookmarkStart w:id="21" w:name="_Toc293306037"/>
      <w:bookmarkStart w:id="22" w:name="_Toc321314571"/>
      <w:r>
        <w:rPr>
          <w:rStyle w:val="FontStyle136"/>
          <w:b/>
          <w:bCs w:val="0"/>
          <w:i w:val="0"/>
          <w:iCs w:val="0"/>
          <w:sz w:val="24"/>
          <w:szCs w:val="24"/>
          <w:lang w:val="bg-BG"/>
        </w:rPr>
        <w:t>2.3.</w:t>
      </w:r>
      <w:proofErr w:type="spellStart"/>
      <w:r w:rsidRPr="008F412C">
        <w:rPr>
          <w:rStyle w:val="FontStyle136"/>
          <w:b/>
          <w:bCs w:val="0"/>
          <w:i w:val="0"/>
          <w:iCs w:val="0"/>
          <w:sz w:val="24"/>
          <w:szCs w:val="24"/>
        </w:rPr>
        <w:t>Сравнителни</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данни</w:t>
      </w:r>
      <w:bookmarkEnd w:id="13"/>
      <w:bookmarkEnd w:id="14"/>
      <w:bookmarkEnd w:id="15"/>
      <w:bookmarkEnd w:id="16"/>
      <w:bookmarkEnd w:id="17"/>
      <w:bookmarkEnd w:id="18"/>
      <w:bookmarkEnd w:id="19"/>
      <w:bookmarkEnd w:id="20"/>
      <w:bookmarkEnd w:id="21"/>
      <w:bookmarkEnd w:id="22"/>
      <w:proofErr w:type="spellEnd"/>
    </w:p>
    <w:p w:rsidR="001F7D05" w:rsidRPr="008F412C" w:rsidRDefault="001F7D05" w:rsidP="001F7D05">
      <w:pPr>
        <w:pStyle w:val="1TEKST"/>
        <w:rPr>
          <w:rStyle w:val="FontStyle137"/>
          <w:sz w:val="24"/>
          <w:szCs w:val="24"/>
          <w:lang w:val="bg-BG"/>
        </w:rPr>
      </w:pPr>
      <w:r w:rsidRPr="008F412C">
        <w:rPr>
          <w:rStyle w:val="FontStyle137"/>
          <w:sz w:val="24"/>
          <w:szCs w:val="24"/>
        </w:rPr>
        <w:t xml:space="preserve">Дружеството представя сравнителна информация в този финансов отчет за една предходна година, като за статиите в Отчета за финансовото състояние и </w:t>
      </w:r>
      <w:r w:rsidRPr="008F412C">
        <w:rPr>
          <w:rStyle w:val="FontStyle137"/>
          <w:sz w:val="24"/>
          <w:szCs w:val="24"/>
          <w:lang w:val="bg-BG"/>
        </w:rPr>
        <w:t xml:space="preserve">Отчета за изменение на </w:t>
      </w:r>
      <w:r w:rsidRPr="008F412C">
        <w:rPr>
          <w:rStyle w:val="FontStyle137"/>
          <w:sz w:val="24"/>
          <w:szCs w:val="24"/>
        </w:rPr>
        <w:t>собствения капитал</w:t>
      </w:r>
      <w:r w:rsidRPr="008F412C">
        <w:rPr>
          <w:rStyle w:val="FontStyle137"/>
          <w:sz w:val="24"/>
          <w:szCs w:val="24"/>
          <w:lang w:val="bg-BG"/>
        </w:rPr>
        <w:t>, както и пояснителните бележки за тях, са представени сравнителни данни към началото на най-ранния сравнителен период.</w:t>
      </w:r>
    </w:p>
    <w:p w:rsidR="001F7D05" w:rsidRPr="008F412C" w:rsidRDefault="001F7D05" w:rsidP="001F7D05">
      <w:pPr>
        <w:pStyle w:val="1TEKST"/>
        <w:rPr>
          <w:rStyle w:val="FontStyle137"/>
          <w:sz w:val="24"/>
          <w:szCs w:val="24"/>
        </w:rPr>
      </w:pPr>
      <w:r w:rsidRPr="008F412C">
        <w:rPr>
          <w:rStyle w:val="FontStyle137"/>
          <w:sz w:val="24"/>
          <w:szCs w:val="24"/>
        </w:rPr>
        <w:t>Където е необходимо, сравнителните данни с</w:t>
      </w:r>
      <w:r w:rsidRPr="008F412C">
        <w:rPr>
          <w:rStyle w:val="FontStyle137"/>
          <w:sz w:val="24"/>
          <w:szCs w:val="24"/>
          <w:lang w:val="bg-BG"/>
        </w:rPr>
        <w:t>а</w:t>
      </w:r>
      <w:r w:rsidRPr="008F412C">
        <w:rPr>
          <w:rStyle w:val="FontStyle137"/>
          <w:sz w:val="24"/>
          <w:szCs w:val="24"/>
        </w:rPr>
        <w:t xml:space="preserve"> рекласифицира</w:t>
      </w:r>
      <w:r w:rsidRPr="008F412C">
        <w:rPr>
          <w:rStyle w:val="FontStyle137"/>
          <w:sz w:val="24"/>
          <w:szCs w:val="24"/>
          <w:lang w:val="bg-BG"/>
        </w:rPr>
        <w:t>ни</w:t>
      </w:r>
      <w:r w:rsidRPr="008F412C">
        <w:rPr>
          <w:rStyle w:val="FontStyle137"/>
          <w:sz w:val="24"/>
          <w:szCs w:val="24"/>
        </w:rPr>
        <w:t>, за да се постигне съпоставимост спрямо промени в представянето в текущата година.</w:t>
      </w:r>
    </w:p>
    <w:p w:rsidR="001F7D05" w:rsidRPr="008F412C" w:rsidRDefault="001F7D05" w:rsidP="001F7D05">
      <w:pPr>
        <w:pStyle w:val="1TEKST"/>
        <w:rPr>
          <w:rStyle w:val="FontStyle137"/>
          <w:sz w:val="24"/>
          <w:szCs w:val="24"/>
        </w:rPr>
      </w:pPr>
    </w:p>
    <w:p w:rsidR="001F7D05" w:rsidRPr="008F412C" w:rsidRDefault="001F7D05" w:rsidP="001F7D05">
      <w:pPr>
        <w:pStyle w:val="1TEKST"/>
        <w:rPr>
          <w:rStyle w:val="FontStyle137"/>
          <w:sz w:val="24"/>
          <w:szCs w:val="24"/>
        </w:rPr>
      </w:pPr>
    </w:p>
    <w:p w:rsidR="001F7D05" w:rsidRPr="008F412C" w:rsidRDefault="001F7D05" w:rsidP="001F7D05">
      <w:pPr>
        <w:pStyle w:val="110"/>
        <w:numPr>
          <w:ilvl w:val="0"/>
          <w:numId w:val="0"/>
        </w:numPr>
        <w:ind w:left="578"/>
        <w:rPr>
          <w:rStyle w:val="FontStyle136"/>
          <w:b/>
          <w:bCs w:val="0"/>
          <w:i w:val="0"/>
          <w:iCs w:val="0"/>
          <w:sz w:val="24"/>
          <w:szCs w:val="24"/>
        </w:rPr>
      </w:pPr>
      <w:bookmarkStart w:id="23" w:name="_Toc225831133"/>
      <w:bookmarkStart w:id="24" w:name="_Toc225831209"/>
      <w:bookmarkStart w:id="25" w:name="_Toc225831333"/>
      <w:bookmarkStart w:id="26" w:name="_Toc262631535"/>
      <w:bookmarkStart w:id="27" w:name="_Toc262632148"/>
      <w:bookmarkStart w:id="28" w:name="_Toc262632561"/>
      <w:bookmarkStart w:id="29" w:name="_Toc262632862"/>
      <w:bookmarkStart w:id="30" w:name="_Toc293073243"/>
      <w:bookmarkStart w:id="31" w:name="_Toc293306038"/>
      <w:bookmarkStart w:id="32" w:name="_Toc321314572"/>
      <w:r>
        <w:rPr>
          <w:rStyle w:val="FontStyle136"/>
          <w:b/>
          <w:bCs w:val="0"/>
          <w:i w:val="0"/>
          <w:iCs w:val="0"/>
          <w:sz w:val="24"/>
          <w:szCs w:val="24"/>
          <w:lang w:val="bg-BG"/>
        </w:rPr>
        <w:t>2.4.</w:t>
      </w:r>
      <w:proofErr w:type="spellStart"/>
      <w:r w:rsidRPr="008F412C">
        <w:rPr>
          <w:rStyle w:val="FontStyle136"/>
          <w:b/>
          <w:bCs w:val="0"/>
          <w:i w:val="0"/>
          <w:iCs w:val="0"/>
          <w:sz w:val="24"/>
          <w:szCs w:val="24"/>
        </w:rPr>
        <w:t>Инфлационно</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преизчисление</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на</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отчетните</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показатели</w:t>
      </w:r>
      <w:bookmarkEnd w:id="23"/>
      <w:bookmarkEnd w:id="24"/>
      <w:bookmarkEnd w:id="25"/>
      <w:bookmarkEnd w:id="26"/>
      <w:bookmarkEnd w:id="27"/>
      <w:bookmarkEnd w:id="28"/>
      <w:bookmarkEnd w:id="29"/>
      <w:bookmarkEnd w:id="30"/>
      <w:bookmarkEnd w:id="31"/>
      <w:bookmarkEnd w:id="32"/>
      <w:proofErr w:type="spellEnd"/>
    </w:p>
    <w:p w:rsidR="001F7D05" w:rsidRPr="008F412C" w:rsidRDefault="001F7D05" w:rsidP="001F7D05">
      <w:pPr>
        <w:pStyle w:val="1TEKST"/>
        <w:rPr>
          <w:rStyle w:val="FontStyle137"/>
          <w:sz w:val="24"/>
          <w:szCs w:val="24"/>
        </w:rPr>
      </w:pPr>
      <w:r w:rsidRPr="008F412C">
        <w:rPr>
          <w:rStyle w:val="FontStyle137"/>
          <w:sz w:val="24"/>
          <w:szCs w:val="24"/>
        </w:rPr>
        <w:t>За 20</w:t>
      </w:r>
      <w:r w:rsidRPr="008F412C">
        <w:rPr>
          <w:rStyle w:val="FontStyle137"/>
          <w:sz w:val="24"/>
          <w:szCs w:val="24"/>
          <w:lang w:val="en-US"/>
        </w:rPr>
        <w:t>14</w:t>
      </w:r>
      <w:r w:rsidRPr="008F412C">
        <w:rPr>
          <w:rStyle w:val="FontStyle137"/>
          <w:sz w:val="24"/>
          <w:szCs w:val="24"/>
          <w:lang w:val="bg-BG"/>
        </w:rPr>
        <w:t>,</w:t>
      </w:r>
      <w:r w:rsidRPr="008F412C">
        <w:rPr>
          <w:rStyle w:val="FontStyle137"/>
          <w:sz w:val="24"/>
          <w:szCs w:val="24"/>
        </w:rPr>
        <w:t xml:space="preserve"> 20</w:t>
      </w:r>
      <w:r w:rsidRPr="008F412C">
        <w:rPr>
          <w:rStyle w:val="FontStyle137"/>
          <w:sz w:val="24"/>
          <w:szCs w:val="24"/>
          <w:lang w:val="en-US"/>
        </w:rPr>
        <w:t>13</w:t>
      </w:r>
      <w:r w:rsidRPr="008F412C">
        <w:rPr>
          <w:rStyle w:val="FontStyle137"/>
          <w:sz w:val="24"/>
          <w:szCs w:val="24"/>
        </w:rPr>
        <w:t xml:space="preserve"> </w:t>
      </w:r>
      <w:r w:rsidRPr="008F412C">
        <w:rPr>
          <w:rStyle w:val="FontStyle137"/>
          <w:sz w:val="24"/>
          <w:szCs w:val="24"/>
          <w:lang w:val="bg-BG"/>
        </w:rPr>
        <w:t>г</w:t>
      </w:r>
      <w:r w:rsidRPr="008F412C">
        <w:rPr>
          <w:rStyle w:val="FontStyle137"/>
          <w:sz w:val="24"/>
          <w:szCs w:val="24"/>
          <w:lang w:val="en-US"/>
        </w:rPr>
        <w:t>.</w:t>
      </w:r>
      <w:r w:rsidRPr="008F412C">
        <w:rPr>
          <w:rStyle w:val="FontStyle137"/>
          <w:sz w:val="24"/>
          <w:szCs w:val="24"/>
          <w:lang w:val="bg-BG"/>
        </w:rPr>
        <w:t xml:space="preserve"> и 2012 г.</w:t>
      </w:r>
      <w:r w:rsidRPr="008F412C">
        <w:rPr>
          <w:rStyle w:val="FontStyle137"/>
          <w:sz w:val="24"/>
          <w:szCs w:val="24"/>
          <w:lang w:val="en-US"/>
        </w:rPr>
        <w:t xml:space="preserve"> </w:t>
      </w:r>
      <w:r w:rsidRPr="008F412C">
        <w:rPr>
          <w:rStyle w:val="FontStyle137"/>
          <w:sz w:val="24"/>
          <w:szCs w:val="24"/>
        </w:rPr>
        <w:t>не са извършвани инфлационни преизчисления на отчитаните показатели на дружеството, тъй като липсва хиперинфлационна стопанска среда.</w:t>
      </w:r>
    </w:p>
    <w:p w:rsidR="001F7D05" w:rsidRPr="008F412C" w:rsidRDefault="001F7D05" w:rsidP="001F7D05">
      <w:pPr>
        <w:pStyle w:val="110"/>
        <w:numPr>
          <w:ilvl w:val="0"/>
          <w:numId w:val="0"/>
        </w:numPr>
        <w:ind w:left="578"/>
        <w:rPr>
          <w:rStyle w:val="FontStyle136"/>
          <w:b/>
          <w:bCs w:val="0"/>
          <w:i w:val="0"/>
          <w:iCs w:val="0"/>
          <w:sz w:val="24"/>
          <w:szCs w:val="24"/>
        </w:rPr>
      </w:pPr>
      <w:bookmarkStart w:id="33" w:name="_Toc225831134"/>
      <w:bookmarkStart w:id="34" w:name="_Toc225831210"/>
      <w:bookmarkStart w:id="35" w:name="_Toc225831334"/>
      <w:bookmarkStart w:id="36" w:name="_Toc262631536"/>
      <w:bookmarkStart w:id="37" w:name="_Toc262632149"/>
      <w:bookmarkStart w:id="38" w:name="_Toc262632562"/>
      <w:bookmarkStart w:id="39" w:name="_Toc262632863"/>
      <w:bookmarkStart w:id="40" w:name="_Toc293073244"/>
      <w:bookmarkStart w:id="41" w:name="_Toc293306039"/>
      <w:bookmarkStart w:id="42" w:name="_Toc321314573"/>
      <w:r>
        <w:rPr>
          <w:rStyle w:val="FontStyle136"/>
          <w:b/>
          <w:bCs w:val="0"/>
          <w:i w:val="0"/>
          <w:iCs w:val="0"/>
          <w:sz w:val="24"/>
          <w:szCs w:val="24"/>
          <w:lang w:val="bg-BG"/>
        </w:rPr>
        <w:t>2.5.</w:t>
      </w:r>
      <w:proofErr w:type="spellStart"/>
      <w:r w:rsidRPr="008F412C">
        <w:rPr>
          <w:rStyle w:val="FontStyle136"/>
          <w:b/>
          <w:bCs w:val="0"/>
          <w:i w:val="0"/>
          <w:iCs w:val="0"/>
          <w:sz w:val="24"/>
          <w:szCs w:val="24"/>
        </w:rPr>
        <w:t>Функционална</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валута</w:t>
      </w:r>
      <w:proofErr w:type="spellEnd"/>
      <w:r w:rsidRPr="008F412C">
        <w:rPr>
          <w:rStyle w:val="FontStyle136"/>
          <w:b/>
          <w:bCs w:val="0"/>
          <w:i w:val="0"/>
          <w:iCs w:val="0"/>
          <w:sz w:val="24"/>
          <w:szCs w:val="24"/>
        </w:rPr>
        <w:t xml:space="preserve"> и </w:t>
      </w:r>
      <w:proofErr w:type="spellStart"/>
      <w:r w:rsidRPr="008F412C">
        <w:rPr>
          <w:rStyle w:val="FontStyle136"/>
          <w:b/>
          <w:bCs w:val="0"/>
          <w:i w:val="0"/>
          <w:iCs w:val="0"/>
          <w:sz w:val="24"/>
          <w:szCs w:val="24"/>
        </w:rPr>
        <w:t>признаване</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на</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курсови</w:t>
      </w:r>
      <w:proofErr w:type="spellEnd"/>
      <w:r w:rsidRPr="008F412C">
        <w:rPr>
          <w:rStyle w:val="FontStyle136"/>
          <w:b/>
          <w:bCs w:val="0"/>
          <w:i w:val="0"/>
          <w:iCs w:val="0"/>
          <w:sz w:val="24"/>
          <w:szCs w:val="24"/>
        </w:rPr>
        <w:t xml:space="preserve"> </w:t>
      </w:r>
      <w:proofErr w:type="spellStart"/>
      <w:r w:rsidRPr="008F412C">
        <w:rPr>
          <w:rStyle w:val="FontStyle136"/>
          <w:b/>
          <w:bCs w:val="0"/>
          <w:i w:val="0"/>
          <w:iCs w:val="0"/>
          <w:sz w:val="24"/>
          <w:szCs w:val="24"/>
        </w:rPr>
        <w:t>разлики</w:t>
      </w:r>
      <w:bookmarkEnd w:id="33"/>
      <w:bookmarkEnd w:id="34"/>
      <w:bookmarkEnd w:id="35"/>
      <w:bookmarkEnd w:id="36"/>
      <w:bookmarkEnd w:id="37"/>
      <w:bookmarkEnd w:id="38"/>
      <w:bookmarkEnd w:id="39"/>
      <w:bookmarkEnd w:id="40"/>
      <w:bookmarkEnd w:id="41"/>
      <w:bookmarkEnd w:id="42"/>
      <w:proofErr w:type="spellEnd"/>
    </w:p>
    <w:p w:rsidR="001F7D05" w:rsidRPr="008F412C" w:rsidRDefault="001F7D05" w:rsidP="001F7D05">
      <w:pPr>
        <w:pStyle w:val="1TEKST"/>
        <w:rPr>
          <w:rStyle w:val="FontStyle137"/>
          <w:sz w:val="24"/>
          <w:szCs w:val="24"/>
        </w:rPr>
      </w:pPr>
      <w:r w:rsidRPr="008F412C">
        <w:rPr>
          <w:rStyle w:val="FontStyle137"/>
          <w:sz w:val="24"/>
          <w:szCs w:val="24"/>
        </w:rPr>
        <w:t xml:space="preserve">Функционалната и отчетна валута на представяне на финансовия отчет на дружеството е българският лев. От 01.07.1997 г. левът е фиксиран в съответствие със Закона за БНБ към германската марка в съотношение </w:t>
      </w:r>
      <w:r w:rsidRPr="008F412C">
        <w:rPr>
          <w:rStyle w:val="FontStyle137"/>
          <w:sz w:val="24"/>
          <w:szCs w:val="24"/>
          <w:lang w:val="en-US"/>
        </w:rPr>
        <w:t xml:space="preserve">BGN 1:DEM </w:t>
      </w:r>
      <w:r w:rsidRPr="008F412C">
        <w:rPr>
          <w:rStyle w:val="FontStyle137"/>
          <w:sz w:val="24"/>
          <w:szCs w:val="24"/>
        </w:rPr>
        <w:t xml:space="preserve">1, а с въвеждането на еврото като официална валута на Европейския съюз - с еврото в съотношение </w:t>
      </w:r>
      <w:r w:rsidRPr="008F412C">
        <w:rPr>
          <w:rStyle w:val="FontStyle137"/>
          <w:sz w:val="24"/>
          <w:szCs w:val="24"/>
          <w:lang w:val="en-US"/>
        </w:rPr>
        <w:t xml:space="preserve">BGN 1.95583:EUR </w:t>
      </w:r>
      <w:r w:rsidRPr="008F412C">
        <w:rPr>
          <w:rStyle w:val="FontStyle137"/>
          <w:sz w:val="24"/>
          <w:szCs w:val="24"/>
        </w:rPr>
        <w:t>1.</w:t>
      </w:r>
    </w:p>
    <w:p w:rsidR="001F7D05" w:rsidRPr="008F412C" w:rsidRDefault="001F7D05" w:rsidP="001F7D05">
      <w:pPr>
        <w:pStyle w:val="1TEKST"/>
        <w:rPr>
          <w:rStyle w:val="FontStyle137"/>
          <w:sz w:val="24"/>
          <w:szCs w:val="24"/>
        </w:rPr>
      </w:pPr>
      <w:r w:rsidRPr="008F412C">
        <w:rPr>
          <w:rStyle w:val="FontStyle137"/>
          <w:sz w:val="24"/>
          <w:szCs w:val="24"/>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Pr="008F412C">
        <w:rPr>
          <w:rStyle w:val="FontStyle137"/>
          <w:sz w:val="24"/>
          <w:szCs w:val="24"/>
          <w:lang w:val="en-US"/>
        </w:rPr>
        <w:t xml:space="preserve">31 </w:t>
      </w:r>
      <w:r w:rsidRPr="008F412C">
        <w:rPr>
          <w:rStyle w:val="FontStyle137"/>
          <w:sz w:val="24"/>
          <w:szCs w:val="24"/>
        </w:rPr>
        <w:t>декември те се оценяват в български лева като се използва заключителният обменен курс на БНБ.</w:t>
      </w:r>
    </w:p>
    <w:p w:rsidR="001F7D05" w:rsidRPr="008F412C" w:rsidRDefault="001F7D05" w:rsidP="001F7D05">
      <w:pPr>
        <w:pStyle w:val="1TEKST"/>
        <w:rPr>
          <w:sz w:val="24"/>
          <w:szCs w:val="24"/>
          <w:lang w:val="bg-BG"/>
        </w:rPr>
      </w:pPr>
      <w:r w:rsidRPr="008F412C">
        <w:rPr>
          <w:rStyle w:val="FontStyle137"/>
          <w:sz w:val="24"/>
          <w:szCs w:val="24"/>
        </w:rPr>
        <w:t>Немонетарните отчетни обекти в баланса,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w:t>
      </w:r>
      <w:r w:rsidRPr="008F412C">
        <w:rPr>
          <w:rStyle w:val="FontStyle137"/>
          <w:sz w:val="24"/>
          <w:szCs w:val="24"/>
          <w:lang w:val="bg-BG"/>
        </w:rPr>
        <w:t xml:space="preserve"> курс</w:t>
      </w:r>
      <w:r w:rsidRPr="008F412C">
        <w:rPr>
          <w:sz w:val="24"/>
          <w:szCs w:val="24"/>
          <w:lang w:val="bg-BG"/>
        </w:rPr>
        <w:t>.</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jc w:val="both"/>
        <w:rPr>
          <w:rFonts w:ascii="Arial Narrow" w:hAnsi="Arial Narrow"/>
        </w:rPr>
      </w:pPr>
    </w:p>
    <w:p w:rsidR="001F7D05" w:rsidRDefault="001F7D05" w:rsidP="001F7D05">
      <w:pPr>
        <w:jc w:val="center"/>
        <w:rPr>
          <w:rFonts w:ascii="Arial Narrow" w:hAnsi="Arial Narrow"/>
          <w:b/>
          <w:lang w:val="en-US"/>
        </w:rPr>
      </w:pPr>
    </w:p>
    <w:p w:rsidR="001F7D05" w:rsidRDefault="001F7D05" w:rsidP="001F7D05">
      <w:pPr>
        <w:jc w:val="center"/>
        <w:rPr>
          <w:rFonts w:ascii="Arial Narrow" w:hAnsi="Arial Narrow"/>
          <w:b/>
          <w:lang w:val="en-US"/>
        </w:rPr>
      </w:pPr>
    </w:p>
    <w:p w:rsidR="001F7D05" w:rsidRPr="001F7D05" w:rsidRDefault="001F7D05" w:rsidP="001F7D05">
      <w:pPr>
        <w:jc w:val="center"/>
        <w:rPr>
          <w:rFonts w:ascii="Arial Narrow" w:hAnsi="Arial Narrow"/>
          <w:b/>
          <w:lang w:val="en-US"/>
        </w:rPr>
      </w:pPr>
    </w:p>
    <w:p w:rsidR="001F7D05" w:rsidRDefault="001F7D05" w:rsidP="001F7D05">
      <w:pPr>
        <w:rPr>
          <w:rFonts w:ascii="Arial Narrow" w:hAnsi="Arial Narrow"/>
          <w:szCs w:val="19"/>
        </w:rPr>
      </w:pPr>
    </w:p>
    <w:p w:rsidR="001F7D05" w:rsidRPr="00465814" w:rsidRDefault="001F7D05" w:rsidP="001F7D05">
      <w:pPr>
        <w:pStyle w:val="Heading1"/>
        <w:rPr>
          <w:rFonts w:ascii="Arial Narrow" w:hAnsi="Arial Narrow"/>
          <w:color w:val="auto"/>
          <w:lang w:val="bg-BG"/>
        </w:rPr>
      </w:pPr>
      <w:r w:rsidRPr="00465814">
        <w:rPr>
          <w:rFonts w:ascii="Arial Narrow" w:hAnsi="Arial Narrow"/>
          <w:color w:val="auto"/>
          <w:szCs w:val="19"/>
          <w:lang w:val="bg-BG"/>
        </w:rPr>
        <w:lastRenderedPageBreak/>
        <w:t>Счетоводна политик</w:t>
      </w:r>
      <w:bookmarkEnd w:id="0"/>
      <w:r w:rsidRPr="00465814">
        <w:rPr>
          <w:rFonts w:ascii="Arial Narrow" w:hAnsi="Arial Narrow"/>
          <w:color w:val="auto"/>
          <w:szCs w:val="19"/>
          <w:lang w:val="bg-BG"/>
        </w:rPr>
        <w:t>а</w:t>
      </w:r>
    </w:p>
    <w:p w:rsidR="001F7D05" w:rsidRPr="00465814" w:rsidRDefault="001F7D05" w:rsidP="001F7D05">
      <w:pPr>
        <w:pStyle w:val="Heading2"/>
        <w:rPr>
          <w:rFonts w:ascii="Arial Narrow" w:hAnsi="Arial Narrow"/>
          <w:color w:val="auto"/>
          <w:szCs w:val="19"/>
          <w:lang w:val="bg-BG"/>
        </w:rPr>
      </w:pPr>
      <w:bookmarkStart w:id="43" w:name="_Toc95275307"/>
      <w:r w:rsidRPr="00465814">
        <w:rPr>
          <w:rFonts w:ascii="Arial Narrow" w:hAnsi="Arial Narrow"/>
          <w:color w:val="auto"/>
          <w:szCs w:val="19"/>
          <w:lang w:val="bg-BG"/>
        </w:rPr>
        <w:t>Общи положения</w:t>
      </w:r>
      <w:bookmarkEnd w:id="43"/>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pStyle w:val="BodyText2"/>
        <w:jc w:val="both"/>
        <w:rPr>
          <w:rFonts w:ascii="Arial Narrow" w:hAnsi="Arial Narrow"/>
          <w:b w:val="0"/>
          <w:bCs/>
          <w:lang w:val="bg-BG"/>
        </w:rPr>
      </w:pPr>
      <w:r w:rsidRPr="00465814">
        <w:rPr>
          <w:rFonts w:ascii="Arial Narrow" w:hAnsi="Arial Narrow"/>
          <w:b w:val="0"/>
          <w:bCs/>
          <w:lang w:val="bg-BG"/>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1F7D05" w:rsidRPr="00465814" w:rsidRDefault="001F7D05" w:rsidP="001F7D05">
      <w:pPr>
        <w:jc w:val="both"/>
        <w:rPr>
          <w:rFonts w:ascii="Arial Narrow" w:hAnsi="Arial Narrow"/>
        </w:rPr>
      </w:pPr>
    </w:p>
    <w:p w:rsidR="001F7D05" w:rsidRPr="00465814" w:rsidRDefault="001F7D05" w:rsidP="001F7D05">
      <w:pPr>
        <w:autoSpaceDE w:val="0"/>
        <w:autoSpaceDN w:val="0"/>
        <w:adjustRightInd w:val="0"/>
        <w:rPr>
          <w:rFonts w:ascii="Arial Narrow" w:hAnsi="Arial Narrow"/>
          <w:szCs w:val="22"/>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Сделки в чуждестранна валута</w:t>
      </w:r>
    </w:p>
    <w:p w:rsidR="001F7D05" w:rsidRPr="00465814" w:rsidRDefault="001F7D05" w:rsidP="001F7D05">
      <w:pPr>
        <w:jc w:val="both"/>
        <w:rPr>
          <w:rFonts w:ascii="Arial Narrow" w:hAnsi="Arial Narrow"/>
          <w:szCs w:val="22"/>
        </w:rPr>
      </w:pPr>
      <w:r w:rsidRPr="00465814">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465814">
        <w:rPr>
          <w:rFonts w:ascii="Arial Narrow" w:hAnsi="Arial Narrow"/>
          <w:szCs w:val="22"/>
        </w:rPr>
        <w:t>Финансовите отчети на Дружеството са изготвени в български лева (</w:t>
      </w:r>
      <w:proofErr w:type="spellStart"/>
      <w:r w:rsidRPr="00465814">
        <w:rPr>
          <w:rFonts w:ascii="Arial Narrow" w:hAnsi="Arial Narrow"/>
          <w:szCs w:val="22"/>
        </w:rPr>
        <w:t>лв</w:t>
      </w:r>
      <w:proofErr w:type="spellEnd"/>
      <w:r w:rsidRPr="00465814">
        <w:rPr>
          <w:rFonts w:ascii="Arial Narrow" w:hAnsi="Arial Narrow"/>
          <w:szCs w:val="22"/>
        </w:rPr>
        <w:t xml:space="preserve">). </w:t>
      </w:r>
      <w:r w:rsidRPr="00465814">
        <w:rPr>
          <w:rFonts w:ascii="Arial Narrow" w:hAnsi="Arial Narrow"/>
          <w:bCs/>
        </w:rPr>
        <w:t xml:space="preserve">Това е функционалната </w:t>
      </w:r>
      <w:r w:rsidRPr="00465814">
        <w:rPr>
          <w:rFonts w:ascii="Arial Narrow" w:hAnsi="Arial Narrow"/>
          <w:iCs/>
          <w:spacing w:val="-2"/>
        </w:rPr>
        <w:t>валута</w:t>
      </w:r>
      <w:r w:rsidRPr="00465814">
        <w:rPr>
          <w:rFonts w:ascii="Arial Narrow" w:hAnsi="Arial Narrow"/>
          <w:bCs/>
        </w:rPr>
        <w:t xml:space="preserve"> и </w:t>
      </w:r>
      <w:r w:rsidRPr="00465814">
        <w:rPr>
          <w:rFonts w:ascii="Arial Narrow" w:hAnsi="Arial Narrow"/>
          <w:iCs/>
          <w:spacing w:val="-2"/>
        </w:rPr>
        <w:t>валутата на представяне</w:t>
      </w:r>
      <w:r w:rsidRPr="00465814">
        <w:rPr>
          <w:rFonts w:ascii="Arial Narrow" w:hAnsi="Arial Narrow"/>
          <w:bCs/>
        </w:rPr>
        <w:t xml:space="preserve"> на Дружеството.</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pStyle w:val="Heading2"/>
        <w:rPr>
          <w:rFonts w:ascii="Arial Narrow" w:hAnsi="Arial Narrow"/>
          <w:color w:val="auto"/>
          <w:lang w:val="bg-BG"/>
        </w:rPr>
      </w:pPr>
      <w:bookmarkStart w:id="44" w:name="_Ref215114858"/>
      <w:r w:rsidRPr="00465814">
        <w:rPr>
          <w:rFonts w:ascii="Arial Narrow" w:hAnsi="Arial Narrow"/>
          <w:color w:val="auto"/>
          <w:lang w:val="bg-BG"/>
        </w:rPr>
        <w:t>Приходи и разходи</w:t>
      </w:r>
      <w:bookmarkEnd w:id="44"/>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rPr>
      </w:pPr>
      <w:r w:rsidRPr="00465814">
        <w:rPr>
          <w:rFonts w:ascii="Arial Narrow" w:hAnsi="Arial Narrow"/>
        </w:rPr>
        <w:t xml:space="preserve">Приходите включват приходи от продажба на стоки и предоставяне на услуги. Приходите от основните продукти и услуги са представени в Пояснение </w:t>
      </w:r>
      <w:r w:rsidRPr="00465814">
        <w:rPr>
          <w:rFonts w:ascii="Arial Narrow" w:hAnsi="Arial Narrow"/>
        </w:rPr>
        <w:fldChar w:fldCharType="begin"/>
      </w:r>
      <w:r w:rsidRPr="00465814">
        <w:rPr>
          <w:rFonts w:ascii="Arial Narrow" w:hAnsi="Arial Narrow"/>
        </w:rPr>
        <w:instrText xml:space="preserve"> REF _Ref186973539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13</w:t>
      </w:r>
      <w:r w:rsidRPr="00465814">
        <w:rPr>
          <w:rFonts w:ascii="Arial Narrow" w:hAnsi="Arial Narrow"/>
        </w:rPr>
        <w:fldChar w:fldCharType="end"/>
      </w:r>
      <w:r>
        <w:rPr>
          <w:rFonts w:ascii="Arial Narrow" w:hAnsi="Arial Narrow"/>
        </w:rPr>
        <w:t xml:space="preserve"> и 17.</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465814">
        <w:rPr>
          <w:rFonts w:ascii="Arial Narrow" w:hAnsi="Arial Narrow"/>
          <w:szCs w:val="22"/>
        </w:rPr>
        <w:t>рабати</w:t>
      </w:r>
      <w:proofErr w:type="spellEnd"/>
      <w:r w:rsidRPr="00465814">
        <w:rPr>
          <w:rFonts w:ascii="Arial Narrow" w:hAnsi="Arial Narrow"/>
          <w:szCs w:val="22"/>
        </w:rPr>
        <w:t xml:space="preserve">, направени от Дружеството. </w:t>
      </w:r>
    </w:p>
    <w:p w:rsidR="001F7D05" w:rsidRPr="00465814" w:rsidRDefault="001F7D05" w:rsidP="001F7D05">
      <w:pPr>
        <w:autoSpaceDE w:val="0"/>
        <w:autoSpaceDN w:val="0"/>
        <w:adjustRightInd w:val="0"/>
        <w:jc w:val="both"/>
        <w:rPr>
          <w:rFonts w:ascii="Arial Narrow" w:hAnsi="Arial Narrow"/>
          <w:szCs w:val="22"/>
        </w:rPr>
      </w:pPr>
    </w:p>
    <w:p w:rsidR="001F7D05" w:rsidRPr="00EA1571"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При </w:t>
      </w:r>
      <w:r w:rsidRPr="00EA1571">
        <w:rPr>
          <w:rFonts w:ascii="Arial Narrow" w:hAnsi="Arial Narrow"/>
          <w:szCs w:val="22"/>
        </w:rPr>
        <w:t>продажба на стоки, приходът се признава, когато са изпълнени следните условия:</w:t>
      </w:r>
    </w:p>
    <w:p w:rsidR="001F7D05" w:rsidRPr="00EA1571" w:rsidRDefault="001F7D05" w:rsidP="001F7D05">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значителните рискове и ползи от собствеността върху стоките са прехвърлени върху купувача;</w:t>
      </w:r>
    </w:p>
    <w:p w:rsidR="001F7D05" w:rsidRPr="00EA1571" w:rsidRDefault="001F7D05" w:rsidP="001F7D05">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не е запазено продължаващо участие в управлението на стоките или ефективен контрол върху тях;</w:t>
      </w:r>
    </w:p>
    <w:p w:rsidR="001F7D05" w:rsidRPr="00EA1571" w:rsidRDefault="001F7D05" w:rsidP="001F7D05">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сумата на прихода може да бъде надеждно оценена;</w:t>
      </w:r>
    </w:p>
    <w:p w:rsidR="001F7D05" w:rsidRPr="00EA1571" w:rsidRDefault="001F7D05" w:rsidP="001F7D05">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вероятно е икономическите изгоди от сделката да бъдат получени;</w:t>
      </w:r>
    </w:p>
    <w:p w:rsidR="001F7D05" w:rsidRPr="00EA1571" w:rsidRDefault="001F7D05" w:rsidP="001F7D05">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lastRenderedPageBreak/>
        <w:t xml:space="preserve">направените разходи или тези, които предстои да бъдат направени могат надеждно да бъдат оценени. </w:t>
      </w:r>
    </w:p>
    <w:p w:rsidR="001F7D05" w:rsidRPr="00EA1571" w:rsidRDefault="001F7D05" w:rsidP="001F7D05">
      <w:pPr>
        <w:autoSpaceDE w:val="0"/>
        <w:autoSpaceDN w:val="0"/>
        <w:adjustRightInd w:val="0"/>
        <w:jc w:val="both"/>
        <w:rPr>
          <w:rFonts w:ascii="Arial Narrow" w:hAnsi="Arial Narrow"/>
          <w:szCs w:val="22"/>
        </w:rPr>
      </w:pPr>
    </w:p>
    <w:p w:rsidR="001F7D05" w:rsidRPr="00EA1571" w:rsidRDefault="001F7D05" w:rsidP="001F7D05">
      <w:pPr>
        <w:pStyle w:val="BodyText"/>
        <w:jc w:val="both"/>
        <w:rPr>
          <w:rFonts w:ascii="Arial Narrow" w:hAnsi="Arial Narrow"/>
          <w:color w:val="auto"/>
          <w:lang w:val="bg-BG"/>
        </w:rPr>
      </w:pPr>
      <w:r w:rsidRPr="00EA1571">
        <w:rPr>
          <w:rFonts w:ascii="Arial Narrow" w:hAnsi="Arial Narrow"/>
          <w:color w:val="auto"/>
          <w:lang w:val="bg-BG"/>
        </w:rPr>
        <w:t xml:space="preserve">Приходът, свързан със сделка по предоставяне на услуги, се признава, когато резултатът от сделката може надеждно да се оцени.  </w:t>
      </w:r>
    </w:p>
    <w:p w:rsidR="001F7D05" w:rsidRPr="00EA1571"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color w:val="FF0000"/>
          <w:szCs w:val="22"/>
        </w:rPr>
      </w:pPr>
      <w:r w:rsidRPr="00EA1571">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w:t>
      </w:r>
      <w:r w:rsidRPr="00465814">
        <w:rPr>
          <w:rFonts w:ascii="Arial Narrow" w:hAnsi="Arial Narrow"/>
          <w:szCs w:val="22"/>
        </w:rPr>
        <w:t xml:space="preserve">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465814">
        <w:rPr>
          <w:rFonts w:ascii="Arial Narrow" w:hAnsi="Arial Narrow"/>
          <w:color w:val="FF0000"/>
          <w:szCs w:val="22"/>
        </w:rPr>
        <w:t xml:space="preserve"> </w:t>
      </w:r>
    </w:p>
    <w:p w:rsidR="001F7D05"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lang w:val="ru-RU"/>
        </w:rPr>
      </w:pPr>
      <w:r w:rsidRPr="00465814">
        <w:rPr>
          <w:rFonts w:ascii="Arial Narrow" w:hAnsi="Arial Narrow"/>
          <w:szCs w:val="22"/>
        </w:rPr>
        <w:t xml:space="preserve">Приходи и разходи за лихви се отчитат на принципа на начислението.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pStyle w:val="Heading2"/>
        <w:rPr>
          <w:rFonts w:ascii="Arial Narrow" w:hAnsi="Arial Narrow"/>
          <w:lang w:val="bg-BG"/>
        </w:rPr>
      </w:pPr>
      <w:r w:rsidRPr="00465814">
        <w:rPr>
          <w:rFonts w:ascii="Arial Narrow" w:hAnsi="Arial Narrow"/>
          <w:lang w:val="bg-BG"/>
        </w:rPr>
        <w:t>Разходи по заеми</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rPr>
      </w:pPr>
      <w:r w:rsidRPr="00465814">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Нематериални активи</w:t>
      </w:r>
    </w:p>
    <w:p w:rsidR="001F7D05" w:rsidRPr="00465814" w:rsidRDefault="001F7D05" w:rsidP="001F7D05">
      <w:pPr>
        <w:rPr>
          <w:rFonts w:ascii="Arial Narrow" w:hAnsi="Arial Narrow"/>
        </w:rPr>
      </w:pPr>
    </w:p>
    <w:p w:rsidR="001F7D05" w:rsidRPr="00465814" w:rsidRDefault="001F7D05" w:rsidP="001F7D05">
      <w:pPr>
        <w:pStyle w:val="BodyText"/>
        <w:jc w:val="both"/>
        <w:rPr>
          <w:rFonts w:ascii="Arial Narrow" w:hAnsi="Arial Narrow"/>
          <w:bCs/>
          <w:color w:val="auto"/>
          <w:lang w:val="bg-BG"/>
        </w:rPr>
      </w:pPr>
      <w:r w:rsidRPr="00465814">
        <w:rPr>
          <w:rFonts w:ascii="Arial Narrow" w:hAnsi="Arial Narrow"/>
          <w:bCs/>
          <w:color w:val="auto"/>
          <w:lang w:val="bg-BG"/>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1F7D05" w:rsidRPr="00465814" w:rsidRDefault="001F7D05" w:rsidP="001F7D05">
      <w:pPr>
        <w:pStyle w:val="BodyText"/>
        <w:rPr>
          <w:rFonts w:ascii="Arial Narrow" w:hAnsi="Arial Narrow"/>
          <w:b/>
          <w:color w:val="auto"/>
          <w:lang w:val="bg-BG"/>
        </w:rPr>
      </w:pPr>
    </w:p>
    <w:p w:rsidR="001F7D05" w:rsidRPr="00465814" w:rsidRDefault="001F7D05" w:rsidP="001F7D05">
      <w:pPr>
        <w:pStyle w:val="BodyText"/>
        <w:jc w:val="both"/>
        <w:rPr>
          <w:rFonts w:ascii="Arial Narrow" w:hAnsi="Arial Narrow"/>
          <w:bCs/>
          <w:color w:val="auto"/>
          <w:lang w:val="bg-BG"/>
        </w:rPr>
      </w:pPr>
      <w:proofErr w:type="spellStart"/>
      <w:r w:rsidRPr="00465814">
        <w:rPr>
          <w:rFonts w:ascii="Arial Narrow" w:hAnsi="Arial Narrow"/>
          <w:bCs/>
          <w:color w:val="auto"/>
          <w:lang w:val="bg-BG"/>
        </w:rPr>
        <w:t>Последващото</w:t>
      </w:r>
      <w:proofErr w:type="spellEnd"/>
      <w:r w:rsidRPr="00465814">
        <w:rPr>
          <w:rFonts w:ascii="Arial Narrow" w:hAnsi="Arial Narrow"/>
          <w:bCs/>
          <w:color w:val="auto"/>
          <w:lang w:val="bg-BG"/>
        </w:rPr>
        <w:t xml:space="preserve"> оценяване се извършва по цена на придобиване, намалена с натрупаните амортизации и загуби от </w:t>
      </w:r>
      <w:proofErr w:type="spellStart"/>
      <w:r w:rsidRPr="00465814">
        <w:rPr>
          <w:rFonts w:ascii="Arial Narrow" w:hAnsi="Arial Narrow"/>
          <w:bCs/>
          <w:color w:val="auto"/>
          <w:lang w:val="bg-BG"/>
        </w:rPr>
        <w:t>обезценка</w:t>
      </w:r>
      <w:proofErr w:type="spellEnd"/>
      <w:r w:rsidRPr="00465814">
        <w:rPr>
          <w:rFonts w:ascii="Arial Narrow" w:hAnsi="Arial Narrow"/>
          <w:bCs/>
          <w:color w:val="auto"/>
          <w:lang w:val="bg-BG"/>
        </w:rPr>
        <w:t xml:space="preserve">. Направените </w:t>
      </w:r>
      <w:proofErr w:type="spellStart"/>
      <w:r w:rsidRPr="00465814">
        <w:rPr>
          <w:rFonts w:ascii="Arial Narrow" w:hAnsi="Arial Narrow"/>
          <w:bCs/>
          <w:color w:val="auto"/>
          <w:lang w:val="bg-BG"/>
        </w:rPr>
        <w:t>обезценки</w:t>
      </w:r>
      <w:proofErr w:type="spellEnd"/>
      <w:r w:rsidRPr="00465814">
        <w:rPr>
          <w:rFonts w:ascii="Arial Narrow" w:hAnsi="Arial Narrow"/>
          <w:bCs/>
          <w:color w:val="auto"/>
          <w:lang w:val="bg-BG"/>
        </w:rPr>
        <w:t xml:space="preserve"> се отчитат като разход и се признават в Отчета за доходите за съответния период. </w:t>
      </w:r>
    </w:p>
    <w:p w:rsidR="001F7D05" w:rsidRPr="00465814" w:rsidRDefault="001F7D05" w:rsidP="001F7D05">
      <w:pPr>
        <w:pStyle w:val="BodyTextIndent2"/>
        <w:ind w:left="0"/>
        <w:rPr>
          <w:rFonts w:ascii="Arial Narrow" w:hAnsi="Arial Narrow"/>
          <w:bCs/>
        </w:rPr>
      </w:pPr>
    </w:p>
    <w:p w:rsidR="001F7D05" w:rsidRPr="00465814" w:rsidRDefault="001F7D05" w:rsidP="001F7D05">
      <w:pPr>
        <w:pStyle w:val="BodyTextIndent2"/>
        <w:ind w:left="0"/>
        <w:rPr>
          <w:rFonts w:ascii="Arial Narrow" w:hAnsi="Arial Narrow"/>
        </w:rPr>
      </w:pPr>
      <w:proofErr w:type="spellStart"/>
      <w:r w:rsidRPr="00465814">
        <w:rPr>
          <w:rFonts w:ascii="Arial Narrow" w:hAnsi="Arial Narrow"/>
        </w:rPr>
        <w:t>Последващите</w:t>
      </w:r>
      <w:proofErr w:type="spellEnd"/>
      <w:r w:rsidRPr="00465814">
        <w:rPr>
          <w:rFonts w:ascii="Arial Narrow"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1F7D05" w:rsidRPr="00465814" w:rsidRDefault="001F7D05" w:rsidP="001F7D05">
      <w:pPr>
        <w:pStyle w:val="BodyTextIndent2"/>
        <w:ind w:left="0"/>
        <w:rPr>
          <w:rFonts w:ascii="Arial Narrow" w:hAnsi="Arial Narrow"/>
        </w:rPr>
      </w:pPr>
    </w:p>
    <w:p w:rsidR="001F7D05" w:rsidRPr="00465814" w:rsidRDefault="001F7D05" w:rsidP="001F7D05">
      <w:pPr>
        <w:jc w:val="both"/>
        <w:rPr>
          <w:rFonts w:ascii="Arial Narrow" w:hAnsi="Arial Narrow"/>
        </w:rPr>
      </w:pPr>
      <w:r w:rsidRPr="00465814">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1F7D05" w:rsidRPr="00465814" w:rsidRDefault="001F7D05" w:rsidP="001F7D05">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софтуер</w:t>
      </w:r>
      <w:r w:rsidRPr="00465814">
        <w:rPr>
          <w:rFonts w:ascii="Arial Narrow" w:hAnsi="Arial Narrow"/>
          <w:szCs w:val="22"/>
        </w:rPr>
        <w:tab/>
      </w:r>
      <w:r w:rsidRPr="00465814">
        <w:rPr>
          <w:rFonts w:ascii="Arial Narrow" w:hAnsi="Arial Narrow"/>
          <w:szCs w:val="22"/>
        </w:rPr>
        <w:tab/>
      </w:r>
      <w:r>
        <w:rPr>
          <w:rFonts w:ascii="Arial Narrow" w:hAnsi="Arial Narrow"/>
          <w:szCs w:val="22"/>
        </w:rPr>
        <w:t>2</w:t>
      </w:r>
      <w:r w:rsidRPr="00465814">
        <w:rPr>
          <w:rFonts w:ascii="Arial Narrow" w:hAnsi="Arial Narrow"/>
          <w:szCs w:val="22"/>
        </w:rPr>
        <w:t xml:space="preserve"> години</w:t>
      </w:r>
    </w:p>
    <w:p w:rsidR="001F7D05" w:rsidRPr="00465814" w:rsidRDefault="001F7D05" w:rsidP="001F7D05">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Pr>
          <w:rFonts w:ascii="Arial Narrow" w:hAnsi="Arial Narrow"/>
          <w:szCs w:val="22"/>
        </w:rPr>
        <w:t xml:space="preserve">            6 </w:t>
      </w:r>
      <w:r w:rsidRPr="00465814">
        <w:rPr>
          <w:rFonts w:ascii="Arial Narrow" w:hAnsi="Arial Narrow"/>
          <w:szCs w:val="22"/>
        </w:rPr>
        <w:t>години</w:t>
      </w:r>
      <w:r>
        <w:rPr>
          <w:rFonts w:ascii="Arial Narrow" w:hAnsi="Arial Narrow"/>
          <w:szCs w:val="22"/>
        </w:rPr>
        <w:t xml:space="preserve"> и шест месеца </w:t>
      </w:r>
    </w:p>
    <w:p w:rsidR="001F7D05" w:rsidRPr="00465814" w:rsidRDefault="001F7D05" w:rsidP="001F7D05">
      <w:pPr>
        <w:pStyle w:val="BodyText"/>
        <w:rPr>
          <w:rFonts w:ascii="Arial Narrow" w:hAnsi="Arial Narrow"/>
          <w:lang w:val="bg-BG" w:eastAsia="de-DE"/>
        </w:rPr>
      </w:pPr>
    </w:p>
    <w:p w:rsidR="001F7D05" w:rsidRPr="00EA1571" w:rsidRDefault="001F7D05" w:rsidP="001F7D05">
      <w:pPr>
        <w:pStyle w:val="BodyText"/>
        <w:rPr>
          <w:rFonts w:ascii="Arial Narrow" w:hAnsi="Arial Narrow"/>
          <w:color w:val="auto"/>
          <w:lang w:val="bg-BG" w:eastAsia="de-DE"/>
        </w:rPr>
      </w:pPr>
      <w:r w:rsidRPr="00465814">
        <w:rPr>
          <w:rFonts w:ascii="Arial Narrow" w:hAnsi="Arial Narrow"/>
          <w:lang w:val="bg-BG" w:eastAsia="de-DE"/>
        </w:rPr>
        <w:t>Амортизацията е включена в “</w:t>
      </w:r>
      <w:r w:rsidRPr="00465814">
        <w:rPr>
          <w:rFonts w:ascii="Arial Narrow" w:hAnsi="Arial Narrow" w:cs="Arial"/>
          <w:szCs w:val="19"/>
          <w:lang w:val="bg-BG"/>
        </w:rPr>
        <w:t xml:space="preserve">разходи за </w:t>
      </w:r>
      <w:r w:rsidRPr="00EA1571">
        <w:rPr>
          <w:rFonts w:ascii="Arial Narrow" w:hAnsi="Arial Narrow" w:cs="Arial"/>
          <w:color w:val="auto"/>
          <w:szCs w:val="19"/>
          <w:lang w:val="bg-BG"/>
        </w:rPr>
        <w:t xml:space="preserve">амортизация и </w:t>
      </w:r>
      <w:proofErr w:type="spellStart"/>
      <w:r w:rsidRPr="00EA1571">
        <w:rPr>
          <w:rFonts w:ascii="Arial Narrow" w:hAnsi="Arial Narrow" w:cs="Arial"/>
          <w:color w:val="auto"/>
          <w:szCs w:val="19"/>
          <w:lang w:val="bg-BG"/>
        </w:rPr>
        <w:t>обезценка</w:t>
      </w:r>
      <w:proofErr w:type="spellEnd"/>
      <w:r w:rsidRPr="00EA1571">
        <w:rPr>
          <w:rFonts w:ascii="Arial Narrow" w:hAnsi="Arial Narrow" w:cs="Arial"/>
          <w:color w:val="auto"/>
          <w:szCs w:val="19"/>
          <w:lang w:val="bg-BG"/>
        </w:rPr>
        <w:t xml:space="preserve"> на нефинансови активи</w:t>
      </w:r>
      <w:r w:rsidRPr="00EA1571">
        <w:rPr>
          <w:rFonts w:ascii="Arial Narrow" w:hAnsi="Arial Narrow"/>
          <w:color w:val="auto"/>
          <w:lang w:val="bg-BG" w:eastAsia="de-DE"/>
        </w:rPr>
        <w:t>”.</w:t>
      </w:r>
    </w:p>
    <w:p w:rsidR="001F7D05" w:rsidRPr="00EA1571" w:rsidRDefault="001F7D05" w:rsidP="001F7D05">
      <w:pPr>
        <w:autoSpaceDE w:val="0"/>
        <w:autoSpaceDN w:val="0"/>
        <w:adjustRightInd w:val="0"/>
        <w:jc w:val="both"/>
        <w:rPr>
          <w:rFonts w:ascii="Arial Narrow" w:hAnsi="Arial Narrow"/>
          <w:szCs w:val="22"/>
        </w:rPr>
      </w:pPr>
    </w:p>
    <w:p w:rsidR="001F7D05" w:rsidRPr="00EA1571" w:rsidRDefault="001F7D05" w:rsidP="001F7D05">
      <w:pPr>
        <w:autoSpaceDE w:val="0"/>
        <w:autoSpaceDN w:val="0"/>
        <w:adjustRightInd w:val="0"/>
        <w:jc w:val="both"/>
        <w:rPr>
          <w:rFonts w:ascii="Arial Narrow" w:hAnsi="Arial Narrow"/>
          <w:szCs w:val="22"/>
        </w:rPr>
      </w:pPr>
      <w:r w:rsidRPr="00EA1571">
        <w:rPr>
          <w:rFonts w:ascii="Arial Narrow" w:hAnsi="Arial Narrow"/>
          <w:szCs w:val="22"/>
        </w:rPr>
        <w:lastRenderedPageBreak/>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нематериалните дълготрайни активи на Дружеството е в размер на </w:t>
      </w:r>
      <w:r>
        <w:rPr>
          <w:rFonts w:ascii="Arial Narrow" w:hAnsi="Arial Narrow"/>
          <w:szCs w:val="22"/>
        </w:rPr>
        <w:t>700.00</w:t>
      </w:r>
      <w:r w:rsidRPr="00465814">
        <w:rPr>
          <w:rFonts w:ascii="Arial Narrow" w:hAnsi="Arial Narrow"/>
          <w:szCs w:val="22"/>
        </w:rPr>
        <w:t xml:space="preserve"> лв.</w:t>
      </w:r>
    </w:p>
    <w:p w:rsidR="001F7D05" w:rsidRPr="00465814" w:rsidRDefault="001F7D05" w:rsidP="001F7D05">
      <w:pPr>
        <w:autoSpaceDE w:val="0"/>
        <w:autoSpaceDN w:val="0"/>
        <w:adjustRightInd w:val="0"/>
        <w:jc w:val="both"/>
        <w:rPr>
          <w:rFonts w:ascii="Arial Narrow" w:hAnsi="Arial Narrow"/>
          <w:szCs w:val="21"/>
        </w:rPr>
      </w:pPr>
    </w:p>
    <w:p w:rsidR="001F7D05" w:rsidRPr="00465814" w:rsidRDefault="001F7D05" w:rsidP="001F7D05">
      <w:pPr>
        <w:pStyle w:val="Heading2"/>
        <w:rPr>
          <w:rFonts w:ascii="Arial Narrow" w:hAnsi="Arial Narrow"/>
          <w:color w:val="auto"/>
          <w:szCs w:val="19"/>
          <w:lang w:val="bg-BG"/>
        </w:rPr>
      </w:pPr>
      <w:r w:rsidRPr="00465814">
        <w:rPr>
          <w:rFonts w:ascii="Arial Narrow" w:hAnsi="Arial Narrow"/>
          <w:color w:val="auto"/>
          <w:szCs w:val="19"/>
          <w:lang w:val="bg-BG"/>
        </w:rPr>
        <w:t>Имоти, машини, съоръжения и оборудване</w:t>
      </w:r>
    </w:p>
    <w:p w:rsidR="001F7D05" w:rsidRPr="00465814" w:rsidRDefault="001F7D05" w:rsidP="001F7D05">
      <w:pPr>
        <w:rPr>
          <w:rFonts w:ascii="Arial Narrow" w:hAnsi="Arial Narrow"/>
        </w:rPr>
      </w:pPr>
    </w:p>
    <w:p w:rsidR="001F7D05" w:rsidRPr="00465814" w:rsidRDefault="001F7D05" w:rsidP="001F7D05">
      <w:pPr>
        <w:jc w:val="both"/>
        <w:rPr>
          <w:rFonts w:ascii="Arial Narrow" w:hAnsi="Arial Narrow"/>
        </w:rPr>
      </w:pPr>
      <w:r w:rsidRPr="00465814">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1F7D05" w:rsidRPr="00465814" w:rsidRDefault="001F7D05" w:rsidP="001F7D05">
      <w:pPr>
        <w:jc w:val="both"/>
        <w:rPr>
          <w:rFonts w:ascii="Arial Narrow" w:hAnsi="Arial Narrow"/>
        </w:rPr>
      </w:pPr>
    </w:p>
    <w:p w:rsidR="001F7D05" w:rsidRPr="00B61217" w:rsidRDefault="001F7D05" w:rsidP="001F7D05">
      <w:pPr>
        <w:autoSpaceDE w:val="0"/>
        <w:autoSpaceDN w:val="0"/>
        <w:adjustRightInd w:val="0"/>
        <w:jc w:val="both"/>
        <w:rPr>
          <w:rFonts w:ascii="Arial Narrow" w:hAnsi="Arial Narrow"/>
          <w:color w:val="FF0000"/>
          <w:szCs w:val="22"/>
          <w:highlight w:val="green"/>
        </w:rPr>
      </w:pPr>
    </w:p>
    <w:p w:rsidR="001F7D05" w:rsidRPr="00465814" w:rsidRDefault="001F7D05" w:rsidP="001F7D05">
      <w:pPr>
        <w:pStyle w:val="BodyText"/>
        <w:jc w:val="both"/>
        <w:rPr>
          <w:rFonts w:ascii="Arial Narrow" w:hAnsi="Arial Narrow"/>
          <w:bCs/>
          <w:color w:val="auto"/>
          <w:lang w:val="bg-BG"/>
        </w:rPr>
      </w:pPr>
      <w:proofErr w:type="spellStart"/>
      <w:r w:rsidRPr="00652330">
        <w:rPr>
          <w:rFonts w:ascii="Arial Narrow" w:hAnsi="Arial Narrow"/>
          <w:bCs/>
          <w:color w:val="auto"/>
          <w:lang w:val="bg-BG"/>
        </w:rPr>
        <w:t>Последващото</w:t>
      </w:r>
      <w:proofErr w:type="spellEnd"/>
      <w:r w:rsidRPr="00652330">
        <w:rPr>
          <w:rFonts w:ascii="Arial Narrow" w:hAnsi="Arial Narrow"/>
          <w:bCs/>
          <w:color w:val="auto"/>
          <w:lang w:val="bg-BG"/>
        </w:rPr>
        <w:t xml:space="preserve"> оценяване се извършва въз основа на цена на придобиване, намалена с натрупаните амортизации и загуби от </w:t>
      </w:r>
      <w:proofErr w:type="spellStart"/>
      <w:r w:rsidRPr="00652330">
        <w:rPr>
          <w:rFonts w:ascii="Arial Narrow" w:hAnsi="Arial Narrow"/>
          <w:bCs/>
          <w:color w:val="auto"/>
          <w:lang w:val="bg-BG"/>
        </w:rPr>
        <w:t>обезценка</w:t>
      </w:r>
      <w:proofErr w:type="spellEnd"/>
      <w:r w:rsidRPr="00652330">
        <w:rPr>
          <w:rFonts w:ascii="Arial Narrow" w:hAnsi="Arial Narrow"/>
          <w:bCs/>
          <w:color w:val="auto"/>
          <w:lang w:val="bg-BG"/>
        </w:rPr>
        <w:t xml:space="preserve">. Направените </w:t>
      </w:r>
      <w:proofErr w:type="spellStart"/>
      <w:r w:rsidRPr="00652330">
        <w:rPr>
          <w:rFonts w:ascii="Arial Narrow" w:hAnsi="Arial Narrow"/>
          <w:bCs/>
          <w:color w:val="auto"/>
          <w:lang w:val="bg-BG"/>
        </w:rPr>
        <w:t>обезценки</w:t>
      </w:r>
      <w:proofErr w:type="spellEnd"/>
      <w:r w:rsidRPr="00652330">
        <w:rPr>
          <w:rFonts w:ascii="Arial Narrow" w:hAnsi="Arial Narrow"/>
          <w:bCs/>
          <w:color w:val="auto"/>
          <w:lang w:val="bg-BG"/>
        </w:rPr>
        <w:t xml:space="preserve"> се отчитат като разход и се признават в Отчета за доходите за съответния период.</w:t>
      </w:r>
      <w:r w:rsidRPr="00465814">
        <w:rPr>
          <w:rFonts w:ascii="Arial Narrow" w:hAnsi="Arial Narrow"/>
          <w:bCs/>
          <w:color w:val="auto"/>
          <w:lang w:val="bg-BG"/>
        </w:rPr>
        <w:t xml:space="preserve">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jc w:val="both"/>
        <w:rPr>
          <w:rFonts w:ascii="Arial Narrow" w:hAnsi="Arial Narrow"/>
        </w:rPr>
      </w:pP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се признават за разход за периода, в който са направени.</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numPr>
          <w:ilvl w:val="0"/>
          <w:numId w:val="1"/>
        </w:numPr>
        <w:autoSpaceDE w:val="0"/>
        <w:autoSpaceDN w:val="0"/>
        <w:adjustRightInd w:val="0"/>
        <w:rPr>
          <w:rFonts w:ascii="Arial Narrow" w:hAnsi="Arial Narrow"/>
          <w:szCs w:val="22"/>
        </w:rPr>
      </w:pPr>
      <w:r w:rsidRPr="00465814">
        <w:rPr>
          <w:rFonts w:ascii="Arial Narrow" w:hAnsi="Arial Narrow"/>
          <w:szCs w:val="22"/>
        </w:rPr>
        <w:t>Сгради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25</w:t>
      </w:r>
      <w:r w:rsidRPr="00465814">
        <w:rPr>
          <w:rFonts w:ascii="Arial Narrow" w:hAnsi="Arial Narrow"/>
          <w:szCs w:val="22"/>
        </w:rPr>
        <w:t xml:space="preserve"> години</w:t>
      </w:r>
    </w:p>
    <w:p w:rsidR="001F7D05" w:rsidRPr="00465814" w:rsidRDefault="001F7D05" w:rsidP="001F7D05">
      <w:pPr>
        <w:numPr>
          <w:ilvl w:val="0"/>
          <w:numId w:val="1"/>
        </w:numPr>
        <w:autoSpaceDE w:val="0"/>
        <w:autoSpaceDN w:val="0"/>
        <w:adjustRightInd w:val="0"/>
        <w:rPr>
          <w:rFonts w:ascii="Arial Narrow" w:hAnsi="Arial Narrow"/>
          <w:szCs w:val="22"/>
        </w:rPr>
      </w:pPr>
      <w:proofErr w:type="spellStart"/>
      <w:r w:rsidRPr="00465814">
        <w:rPr>
          <w:rFonts w:ascii="Arial Narrow" w:hAnsi="Arial Narrow"/>
          <w:szCs w:val="22"/>
        </w:rPr>
        <w:t>Mашини</w:t>
      </w:r>
      <w:proofErr w:type="spellEnd"/>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3</w:t>
      </w:r>
      <w:r w:rsidRPr="00465814">
        <w:rPr>
          <w:rFonts w:ascii="Arial Narrow" w:hAnsi="Arial Narrow"/>
          <w:szCs w:val="22"/>
        </w:rPr>
        <w:t xml:space="preserve"> години</w:t>
      </w:r>
      <w:r>
        <w:rPr>
          <w:rFonts w:ascii="Arial Narrow" w:hAnsi="Arial Narrow"/>
          <w:szCs w:val="22"/>
        </w:rPr>
        <w:t xml:space="preserve"> и три месеца</w:t>
      </w:r>
    </w:p>
    <w:p w:rsidR="001F7D05" w:rsidRPr="00465814" w:rsidRDefault="001F7D05" w:rsidP="001F7D05">
      <w:pPr>
        <w:numPr>
          <w:ilvl w:val="0"/>
          <w:numId w:val="1"/>
        </w:numPr>
        <w:autoSpaceDE w:val="0"/>
        <w:autoSpaceDN w:val="0"/>
        <w:adjustRightInd w:val="0"/>
        <w:rPr>
          <w:rFonts w:ascii="Arial Narrow" w:hAnsi="Arial Narrow"/>
          <w:szCs w:val="22"/>
        </w:rPr>
      </w:pPr>
      <w:r>
        <w:rPr>
          <w:rFonts w:ascii="Arial Narrow" w:hAnsi="Arial Narrow"/>
          <w:szCs w:val="22"/>
        </w:rPr>
        <w:t>Автомобили                                4</w:t>
      </w:r>
      <w:r w:rsidRPr="00465814">
        <w:rPr>
          <w:rFonts w:ascii="Arial Narrow" w:hAnsi="Arial Narrow"/>
          <w:szCs w:val="22"/>
        </w:rPr>
        <w:t xml:space="preserve"> години</w:t>
      </w:r>
    </w:p>
    <w:p w:rsidR="001F7D05" w:rsidRPr="00465814" w:rsidRDefault="001F7D05" w:rsidP="001F7D05">
      <w:pPr>
        <w:numPr>
          <w:ilvl w:val="0"/>
          <w:numId w:val="1"/>
        </w:numPr>
        <w:autoSpaceDE w:val="0"/>
        <w:autoSpaceDN w:val="0"/>
        <w:adjustRightInd w:val="0"/>
        <w:rPr>
          <w:rFonts w:ascii="Arial Narrow" w:hAnsi="Arial Narrow"/>
          <w:szCs w:val="22"/>
        </w:rPr>
      </w:pPr>
      <w:r w:rsidRPr="00465814">
        <w:rPr>
          <w:rFonts w:ascii="Arial Narrow" w:hAnsi="Arial Narrow"/>
          <w:szCs w:val="22"/>
        </w:rPr>
        <w:t xml:space="preserve">Стопански инвентар </w:t>
      </w:r>
      <w:r w:rsidRPr="00465814">
        <w:rPr>
          <w:rFonts w:ascii="Arial Narrow" w:hAnsi="Arial Narrow"/>
          <w:szCs w:val="22"/>
        </w:rPr>
        <w:tab/>
      </w:r>
      <w:r w:rsidRPr="00465814">
        <w:rPr>
          <w:rFonts w:ascii="Arial Narrow" w:hAnsi="Arial Narrow"/>
          <w:szCs w:val="22"/>
        </w:rPr>
        <w:tab/>
      </w:r>
      <w:r>
        <w:rPr>
          <w:rFonts w:ascii="Arial Narrow" w:hAnsi="Arial Narrow"/>
          <w:szCs w:val="22"/>
        </w:rPr>
        <w:t>6</w:t>
      </w:r>
      <w:r w:rsidRPr="00465814">
        <w:rPr>
          <w:rFonts w:ascii="Arial Narrow" w:hAnsi="Arial Narrow"/>
          <w:szCs w:val="22"/>
        </w:rPr>
        <w:t xml:space="preserve"> години</w:t>
      </w:r>
      <w:r>
        <w:rPr>
          <w:rFonts w:ascii="Arial Narrow" w:hAnsi="Arial Narrow"/>
          <w:szCs w:val="22"/>
        </w:rPr>
        <w:t xml:space="preserve"> и шест месеца</w:t>
      </w:r>
    </w:p>
    <w:p w:rsidR="001F7D05" w:rsidRPr="00465814" w:rsidRDefault="001F7D05" w:rsidP="001F7D05">
      <w:pPr>
        <w:numPr>
          <w:ilvl w:val="0"/>
          <w:numId w:val="1"/>
        </w:numPr>
        <w:autoSpaceDE w:val="0"/>
        <w:autoSpaceDN w:val="0"/>
        <w:adjustRightInd w:val="0"/>
        <w:rPr>
          <w:rFonts w:ascii="Arial Narrow" w:hAnsi="Arial Narrow"/>
          <w:szCs w:val="22"/>
        </w:rPr>
      </w:pPr>
      <w:r w:rsidRPr="00465814">
        <w:rPr>
          <w:rFonts w:ascii="Arial Narrow" w:hAnsi="Arial Narrow"/>
          <w:szCs w:val="22"/>
        </w:rPr>
        <w:t>Компютри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2</w:t>
      </w:r>
      <w:r w:rsidRPr="00465814">
        <w:rPr>
          <w:rFonts w:ascii="Arial Narrow" w:hAnsi="Arial Narrow"/>
          <w:szCs w:val="22"/>
        </w:rPr>
        <w:t xml:space="preserve"> години</w:t>
      </w:r>
    </w:p>
    <w:p w:rsidR="001F7D05" w:rsidRPr="00465814" w:rsidRDefault="001F7D05" w:rsidP="001F7D05">
      <w:pPr>
        <w:numPr>
          <w:ilvl w:val="0"/>
          <w:numId w:val="1"/>
        </w:numPr>
        <w:autoSpaceDE w:val="0"/>
        <w:autoSpaceDN w:val="0"/>
        <w:adjustRightInd w:val="0"/>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6</w:t>
      </w:r>
      <w:r w:rsidRPr="00465814">
        <w:rPr>
          <w:rFonts w:ascii="Arial Narrow" w:hAnsi="Arial Narrow"/>
          <w:szCs w:val="22"/>
        </w:rPr>
        <w:t xml:space="preserve"> години</w:t>
      </w:r>
      <w:r>
        <w:rPr>
          <w:rFonts w:ascii="Arial Narrow" w:hAnsi="Arial Narrow"/>
          <w:szCs w:val="22"/>
        </w:rPr>
        <w:t xml:space="preserve"> и шест месеца</w:t>
      </w:r>
    </w:p>
    <w:p w:rsidR="001F7D05" w:rsidRPr="00465814" w:rsidRDefault="001F7D05" w:rsidP="001F7D05">
      <w:pPr>
        <w:autoSpaceDE w:val="0"/>
        <w:autoSpaceDN w:val="0"/>
        <w:adjustRightInd w:val="0"/>
        <w:rPr>
          <w:rFonts w:ascii="Arial Narrow" w:hAnsi="Arial Narrow"/>
          <w:szCs w:val="19"/>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3C44A4">
        <w:rPr>
          <w:rFonts w:ascii="Arial Narrow" w:hAnsi="Arial Narrow"/>
          <w:color w:val="000000"/>
          <w:szCs w:val="22"/>
        </w:rPr>
        <w:t>на 700.00</w:t>
      </w:r>
      <w:r w:rsidRPr="00465814">
        <w:rPr>
          <w:rFonts w:ascii="Arial Narrow" w:hAnsi="Arial Narrow"/>
          <w:szCs w:val="22"/>
        </w:rPr>
        <w:t xml:space="preserve"> лв.</w:t>
      </w:r>
    </w:p>
    <w:p w:rsidR="001F7D05" w:rsidRPr="00465814" w:rsidRDefault="001F7D05" w:rsidP="001F7D05">
      <w:pPr>
        <w:autoSpaceDE w:val="0"/>
        <w:autoSpaceDN w:val="0"/>
        <w:adjustRightInd w:val="0"/>
        <w:rPr>
          <w:rFonts w:ascii="Arial Narrow" w:hAnsi="Arial Narrow"/>
          <w:szCs w:val="19"/>
        </w:rPr>
      </w:pPr>
    </w:p>
    <w:p w:rsidR="001F7D05" w:rsidRPr="00465814" w:rsidRDefault="001F7D05" w:rsidP="001F7D05">
      <w:pPr>
        <w:pStyle w:val="Heading2"/>
      </w:pPr>
      <w:r w:rsidRPr="00465814">
        <w:rPr>
          <w:rFonts w:ascii="Arial Narrow" w:hAnsi="Arial Narrow"/>
          <w:color w:val="auto"/>
          <w:lang w:val="bg-BG"/>
        </w:rPr>
        <w:t>Отчитане на лизинговите договори</w:t>
      </w:r>
    </w:p>
    <w:p w:rsidR="001F7D05" w:rsidRPr="00F51366" w:rsidRDefault="001F7D05" w:rsidP="001F7D05">
      <w:pPr>
        <w:autoSpaceDE w:val="0"/>
        <w:autoSpaceDN w:val="0"/>
        <w:adjustRightInd w:val="0"/>
        <w:jc w:val="both"/>
        <w:rPr>
          <w:rFonts w:ascii="Arial Narrow" w:hAnsi="Arial Narrow"/>
          <w:szCs w:val="22"/>
        </w:rPr>
      </w:pPr>
      <w:r w:rsidRPr="00F51366">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w:t>
      </w:r>
      <w:r w:rsidRPr="00F51366">
        <w:rPr>
          <w:rFonts w:ascii="Arial Narrow" w:hAnsi="Arial Narrow"/>
          <w:szCs w:val="22"/>
        </w:rPr>
        <w:lastRenderedPageBreak/>
        <w:t xml:space="preserve">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1F7D05" w:rsidRPr="00F51366"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F51366">
        <w:rPr>
          <w:rFonts w:ascii="Arial Narrow" w:hAnsi="Arial Narrow"/>
          <w:szCs w:val="22"/>
        </w:rPr>
        <w:t>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w:t>
      </w:r>
      <w:r w:rsidRPr="00465814">
        <w:rPr>
          <w:rFonts w:ascii="Arial Narrow" w:hAnsi="Arial Narrow"/>
          <w:szCs w:val="22"/>
        </w:rPr>
        <w:t xml:space="preserve"> </w:t>
      </w:r>
    </w:p>
    <w:p w:rsidR="001F7D05" w:rsidRPr="00465814" w:rsidRDefault="001F7D05" w:rsidP="001F7D05">
      <w:pPr>
        <w:autoSpaceDE w:val="0"/>
        <w:autoSpaceDN w:val="0"/>
        <w:adjustRightInd w:val="0"/>
        <w:rPr>
          <w:rFonts w:ascii="Arial Narrow" w:hAnsi="Arial Narrow"/>
          <w:szCs w:val="22"/>
        </w:rPr>
      </w:pPr>
    </w:p>
    <w:p w:rsidR="001F7D05" w:rsidRPr="00465814" w:rsidRDefault="001F7D05" w:rsidP="001F7D05">
      <w:pPr>
        <w:pStyle w:val="Heading2"/>
        <w:spacing w:line="240" w:lineRule="auto"/>
        <w:rPr>
          <w:rFonts w:ascii="Arial Narrow" w:hAnsi="Arial Narrow"/>
          <w:color w:val="auto"/>
          <w:lang w:val="bg-BG"/>
        </w:rPr>
      </w:pPr>
      <w:bookmarkStart w:id="45" w:name="_Ref215132001"/>
      <w:proofErr w:type="spellStart"/>
      <w:r w:rsidRPr="00465814">
        <w:rPr>
          <w:rFonts w:ascii="Arial Narrow" w:hAnsi="Arial Narrow"/>
          <w:color w:val="auto"/>
          <w:lang w:val="bg-BG"/>
        </w:rPr>
        <w:t>Tестове</w:t>
      </w:r>
      <w:proofErr w:type="spellEnd"/>
      <w:r w:rsidRPr="00465814">
        <w:rPr>
          <w:rFonts w:ascii="Arial Narrow" w:hAnsi="Arial Narrow"/>
          <w:color w:val="auto"/>
          <w:lang w:val="bg-BG"/>
        </w:rPr>
        <w:t xml:space="preserve"> за </w:t>
      </w:r>
      <w:proofErr w:type="spellStart"/>
      <w:r w:rsidRPr="00465814">
        <w:rPr>
          <w:rFonts w:ascii="Arial Narrow" w:hAnsi="Arial Narrow"/>
          <w:color w:val="auto"/>
          <w:lang w:val="bg-BG"/>
        </w:rPr>
        <w:t>oбезценка</w:t>
      </w:r>
      <w:proofErr w:type="spellEnd"/>
      <w:r w:rsidRPr="00465814">
        <w:rPr>
          <w:rFonts w:ascii="Arial Narrow" w:hAnsi="Arial Narrow"/>
          <w:color w:val="auto"/>
          <w:lang w:val="bg-BG"/>
        </w:rPr>
        <w:t xml:space="preserve"> на нематериалните активи и имоти, машини, съоръжения и оборудване</w:t>
      </w:r>
      <w:bookmarkEnd w:id="45"/>
    </w:p>
    <w:p w:rsidR="001F7D05" w:rsidRPr="00465814" w:rsidRDefault="001F7D05" w:rsidP="001F7D05">
      <w:pPr>
        <w:rPr>
          <w:rFonts w:ascii="Arial Narrow" w:hAnsi="Arial Narrow"/>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При изчисляване на </w:t>
      </w:r>
      <w:proofErr w:type="spellStart"/>
      <w:r w:rsidRPr="00465814">
        <w:rPr>
          <w:rFonts w:ascii="Arial Narrow" w:hAnsi="Arial Narrow"/>
          <w:szCs w:val="22"/>
        </w:rPr>
        <w:t>обезценката</w:t>
      </w:r>
      <w:proofErr w:type="spellEnd"/>
      <w:r w:rsidRPr="00465814">
        <w:rPr>
          <w:rFonts w:ascii="Arial Narrow" w:hAnsi="Arial Narrow"/>
          <w:szCs w:val="22"/>
        </w:rPr>
        <w:t xml:space="preserve"> Дружеството дефинира най-малката </w:t>
      </w:r>
      <w:proofErr w:type="spellStart"/>
      <w:r w:rsidRPr="00465814">
        <w:rPr>
          <w:rFonts w:ascii="Arial Narrow" w:hAnsi="Arial Narrow"/>
          <w:szCs w:val="22"/>
        </w:rPr>
        <w:t>разграничима</w:t>
      </w:r>
      <w:proofErr w:type="spellEnd"/>
      <w:r w:rsidRPr="00465814">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индивидуална база, а други на база единица, генерираща парични потоци.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Всички активи и единици, генериращи парични потоци,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когато събития или промяна в обстоятелства </w:t>
      </w:r>
      <w:proofErr w:type="spellStart"/>
      <w:r w:rsidRPr="00465814">
        <w:rPr>
          <w:rFonts w:ascii="Arial Narrow" w:hAnsi="Arial Narrow"/>
          <w:szCs w:val="22"/>
        </w:rPr>
        <w:t>индикират</w:t>
      </w:r>
      <w:proofErr w:type="spellEnd"/>
      <w:r w:rsidRPr="00465814">
        <w:rPr>
          <w:rFonts w:ascii="Arial Narrow" w:hAnsi="Arial Narrow"/>
          <w:szCs w:val="22"/>
        </w:rPr>
        <w:t>, че тяхната балансова стойност може да не бъде възстановена.</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465814">
        <w:rPr>
          <w:rFonts w:ascii="Arial Narrow" w:hAnsi="Arial Narrow"/>
          <w:szCs w:val="22"/>
        </w:rPr>
        <w:t>дисконтов</w:t>
      </w:r>
      <w:proofErr w:type="spellEnd"/>
      <w:r w:rsidRPr="00465814">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465814">
        <w:rPr>
          <w:rFonts w:ascii="Arial Narrow" w:hAnsi="Arial Narrow"/>
          <w:szCs w:val="22"/>
        </w:rPr>
        <w:t>Дисконтовите</w:t>
      </w:r>
      <w:proofErr w:type="spellEnd"/>
      <w:r w:rsidRPr="00465814">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19"/>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Загубите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465814">
        <w:rPr>
          <w:rFonts w:ascii="Arial Narrow" w:hAnsi="Arial Narrow"/>
          <w:szCs w:val="22"/>
        </w:rPr>
        <w:t>последващо</w:t>
      </w:r>
      <w:proofErr w:type="spellEnd"/>
      <w:r w:rsidRPr="00465814">
        <w:rPr>
          <w:rFonts w:ascii="Arial Narrow" w:hAnsi="Arial Narrow"/>
          <w:szCs w:val="22"/>
        </w:rPr>
        <w:t xml:space="preserve"> дали съществуват индикации за това, че загубата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1F7D05" w:rsidRPr="00465814" w:rsidRDefault="001F7D05" w:rsidP="001F7D05">
      <w:pPr>
        <w:autoSpaceDE w:val="0"/>
        <w:autoSpaceDN w:val="0"/>
        <w:adjustRightInd w:val="0"/>
        <w:jc w:val="both"/>
        <w:rPr>
          <w:rFonts w:ascii="Arial Narrow" w:hAnsi="Arial Narrow"/>
          <w:szCs w:val="19"/>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Инвестиционни имоти</w:t>
      </w:r>
    </w:p>
    <w:p w:rsidR="001F7D05" w:rsidRPr="00465814" w:rsidRDefault="001F7D05" w:rsidP="001F7D05">
      <w:pPr>
        <w:rPr>
          <w:rFonts w:ascii="Arial Narrow" w:hAnsi="Arial Narrow"/>
        </w:rPr>
      </w:pPr>
    </w:p>
    <w:p w:rsidR="001F7D05" w:rsidRPr="00CC60F8" w:rsidRDefault="001F7D05" w:rsidP="001F7D05">
      <w:pPr>
        <w:jc w:val="both"/>
        <w:rPr>
          <w:rFonts w:ascii="Arial Narrow" w:hAnsi="Arial Narrow"/>
        </w:rPr>
      </w:pPr>
      <w:r w:rsidRPr="00CC60F8">
        <w:rPr>
          <w:rFonts w:ascii="Arial Narrow" w:hAnsi="Arial Narrow"/>
        </w:rPr>
        <w:t>Модел на справедливата стойност</w:t>
      </w: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465814">
        <w:rPr>
          <w:rFonts w:ascii="Arial Narrow" w:hAnsi="Arial Narrow"/>
          <w:color w:val="000000"/>
          <w:szCs w:val="22"/>
        </w:rPr>
        <w:t>които се отчитат по модела на справедливата стойност.</w:t>
      </w:r>
    </w:p>
    <w:p w:rsidR="001F7D05" w:rsidRPr="00465814" w:rsidRDefault="001F7D05" w:rsidP="001F7D05">
      <w:pPr>
        <w:jc w:val="both"/>
        <w:rPr>
          <w:rFonts w:ascii="Arial Narrow" w:hAnsi="Arial Narrow"/>
          <w:highlight w:val="cyan"/>
        </w:rPr>
      </w:pPr>
    </w:p>
    <w:p w:rsidR="001F7D05" w:rsidRPr="00465814" w:rsidRDefault="001F7D05" w:rsidP="001F7D05">
      <w:pPr>
        <w:autoSpaceDE w:val="0"/>
        <w:autoSpaceDN w:val="0"/>
        <w:adjustRightInd w:val="0"/>
        <w:jc w:val="both"/>
        <w:rPr>
          <w:rFonts w:ascii="Arial Narrow" w:hAnsi="Arial Narrow"/>
          <w:highlight w:val="cyan"/>
        </w:rPr>
      </w:pPr>
      <w:r w:rsidRPr="00465814">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465814">
        <w:rPr>
          <w:rFonts w:ascii="Arial Narrow" w:hAnsi="Arial Narrow" w:cs="SPTime-Bold"/>
          <w:bCs/>
          <w:lang w:eastAsia="bg-BG"/>
        </w:rPr>
        <w:t>и скорошен опит в местонахождението и категорията на оценявания имот</w:t>
      </w:r>
      <w:r w:rsidRPr="00465814">
        <w:rPr>
          <w:rFonts w:ascii="Arial Narrow" w:hAnsi="Arial Narrow"/>
        </w:rPr>
        <w:t>, базирайки се на доказателства за пазарните условия.</w:t>
      </w:r>
    </w:p>
    <w:p w:rsidR="001F7D05" w:rsidRPr="00465814" w:rsidRDefault="001F7D05" w:rsidP="001F7D05">
      <w:pPr>
        <w:jc w:val="both"/>
        <w:rPr>
          <w:rFonts w:ascii="Arial Narrow" w:hAnsi="Arial Narrow"/>
          <w:highlight w:val="cyan"/>
        </w:rPr>
      </w:pPr>
    </w:p>
    <w:p w:rsidR="001F7D05" w:rsidRPr="00465814" w:rsidRDefault="001F7D05" w:rsidP="001F7D05">
      <w:pPr>
        <w:pStyle w:val="BodyText"/>
        <w:jc w:val="both"/>
        <w:rPr>
          <w:rFonts w:ascii="Arial Narrow" w:hAnsi="Arial Narrow"/>
          <w:szCs w:val="24"/>
          <w:lang w:val="bg-BG"/>
        </w:rPr>
      </w:pPr>
      <w:r w:rsidRPr="00465814">
        <w:rPr>
          <w:rFonts w:ascii="Arial Narrow" w:hAnsi="Arial Narrow"/>
          <w:szCs w:val="24"/>
          <w:lang w:val="bg-BG"/>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465814">
        <w:rPr>
          <w:rFonts w:ascii="Arial Narrow" w:hAnsi="Arial Narrow" w:cs="Arial"/>
          <w:szCs w:val="24"/>
          <w:lang w:val="bg-BG"/>
        </w:rPr>
        <w:t>промени в справедливата стойност на инвестиционните имоти</w:t>
      </w:r>
      <w:r w:rsidRPr="00465814">
        <w:rPr>
          <w:rFonts w:ascii="Arial Narrow" w:hAnsi="Arial Narrow"/>
          <w:szCs w:val="24"/>
          <w:lang w:val="bg-BG"/>
        </w:rPr>
        <w:t>”.</w:t>
      </w:r>
    </w:p>
    <w:p w:rsidR="001F7D05" w:rsidRPr="00465814" w:rsidRDefault="001F7D05" w:rsidP="001F7D05">
      <w:pPr>
        <w:pStyle w:val="BodyText"/>
        <w:rPr>
          <w:rFonts w:ascii="Arial Narrow" w:hAnsi="Arial Narrow"/>
          <w:szCs w:val="24"/>
          <w:lang w:val="bg-BG"/>
        </w:rPr>
      </w:pPr>
    </w:p>
    <w:p w:rsidR="001F7D05" w:rsidRPr="00465814" w:rsidRDefault="001F7D05" w:rsidP="001F7D05">
      <w:pPr>
        <w:jc w:val="both"/>
        <w:rPr>
          <w:rFonts w:ascii="Arial Narrow" w:hAnsi="Arial Narrow"/>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w:t>
      </w:r>
      <w:proofErr w:type="spellStart"/>
      <w:r>
        <w:rPr>
          <w:rFonts w:ascii="Arial Narrow" w:hAnsi="Arial Narrow"/>
        </w:rPr>
        <w:t>3</w:t>
      </w:r>
      <w:proofErr w:type="spellEnd"/>
      <w:r w:rsidRPr="00465814">
        <w:rPr>
          <w:rFonts w:ascii="Arial Narrow" w:hAnsi="Arial Narrow"/>
        </w:rPr>
        <w:fldChar w:fldCharType="end"/>
      </w:r>
      <w:r w:rsidRPr="00465814">
        <w:rPr>
          <w:rFonts w:ascii="Arial Narrow" w:hAnsi="Arial Narrow"/>
        </w:rPr>
        <w:t>.</w:t>
      </w:r>
    </w:p>
    <w:p w:rsidR="001F7D05" w:rsidRPr="00465814" w:rsidRDefault="001F7D05" w:rsidP="001F7D05">
      <w:pPr>
        <w:pStyle w:val="Header"/>
        <w:tabs>
          <w:tab w:val="clear" w:pos="4153"/>
          <w:tab w:val="clear" w:pos="8306"/>
        </w:tabs>
        <w:autoSpaceDE w:val="0"/>
        <w:autoSpaceDN w:val="0"/>
        <w:adjustRightInd w:val="0"/>
        <w:jc w:val="both"/>
        <w:rPr>
          <w:rFonts w:ascii="Arial Narrow" w:hAnsi="Arial Narrow"/>
          <w:szCs w:val="22"/>
        </w:rPr>
      </w:pPr>
    </w:p>
    <w:p w:rsidR="001F7D05" w:rsidRPr="00465814" w:rsidRDefault="001F7D05" w:rsidP="001F7D05">
      <w:pPr>
        <w:pStyle w:val="Header"/>
        <w:tabs>
          <w:tab w:val="clear" w:pos="4153"/>
          <w:tab w:val="clear" w:pos="8306"/>
        </w:tabs>
        <w:autoSpaceDE w:val="0"/>
        <w:autoSpaceDN w:val="0"/>
        <w:adjustRightInd w:val="0"/>
        <w:jc w:val="both"/>
        <w:rPr>
          <w:rFonts w:ascii="Arial Narrow" w:hAnsi="Arial Narrow"/>
          <w:szCs w:val="22"/>
        </w:rPr>
      </w:pPr>
      <w:proofErr w:type="spellStart"/>
      <w:r w:rsidRPr="00465814">
        <w:rPr>
          <w:rFonts w:ascii="Arial Narrow" w:hAnsi="Arial Narrow"/>
          <w:szCs w:val="22"/>
        </w:rPr>
        <w:t>Последващите</w:t>
      </w:r>
      <w:proofErr w:type="spellEnd"/>
      <w:r w:rsidRPr="00465814">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се признават за разход в периода, в който са възникнали.  </w:t>
      </w:r>
    </w:p>
    <w:p w:rsidR="001F7D05" w:rsidRPr="00465814" w:rsidRDefault="001F7D05" w:rsidP="001F7D05">
      <w:pPr>
        <w:pStyle w:val="Header"/>
        <w:tabs>
          <w:tab w:val="clear" w:pos="4153"/>
          <w:tab w:val="clear" w:pos="8306"/>
        </w:tabs>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19"/>
        </w:rPr>
      </w:pPr>
      <w:r w:rsidRPr="00465814">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1F7D05" w:rsidRPr="00465814" w:rsidRDefault="001F7D05" w:rsidP="001F7D05">
      <w:pPr>
        <w:pStyle w:val="Header"/>
        <w:tabs>
          <w:tab w:val="clear" w:pos="4153"/>
          <w:tab w:val="clear" w:pos="8306"/>
        </w:tabs>
        <w:autoSpaceDE w:val="0"/>
        <w:autoSpaceDN w:val="0"/>
        <w:adjustRightInd w:val="0"/>
        <w:jc w:val="both"/>
        <w:rPr>
          <w:rFonts w:ascii="Arial Narrow" w:hAnsi="Arial Narrow"/>
          <w:szCs w:val="22"/>
          <w:highlight w:val="cyan"/>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1F7D05" w:rsidRPr="00465814" w:rsidRDefault="001F7D05" w:rsidP="001F7D05">
      <w:pPr>
        <w:autoSpaceDE w:val="0"/>
        <w:autoSpaceDN w:val="0"/>
        <w:adjustRightInd w:val="0"/>
        <w:jc w:val="both"/>
        <w:rPr>
          <w:rFonts w:ascii="Arial Narrow" w:hAnsi="Arial Narrow"/>
          <w:bCs/>
          <w:szCs w:val="22"/>
          <w:highlight w:val="cyan"/>
        </w:rPr>
      </w:pPr>
    </w:p>
    <w:p w:rsidR="001F7D05" w:rsidRPr="00465814" w:rsidRDefault="001F7D05" w:rsidP="001F7D05">
      <w:pPr>
        <w:autoSpaceDE w:val="0"/>
        <w:autoSpaceDN w:val="0"/>
        <w:adjustRightInd w:val="0"/>
        <w:jc w:val="both"/>
        <w:rPr>
          <w:rFonts w:ascii="Arial Narrow" w:hAnsi="Arial Narrow"/>
          <w:bCs/>
          <w:szCs w:val="22"/>
          <w:highlight w:val="cyan"/>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w:t>
      </w:r>
      <w:proofErr w:type="spellStart"/>
      <w:r>
        <w:rPr>
          <w:rFonts w:ascii="Arial Narrow" w:hAnsi="Arial Narrow"/>
        </w:rPr>
        <w:t>3</w:t>
      </w:r>
      <w:proofErr w:type="spellEnd"/>
      <w:r w:rsidRPr="00465814">
        <w:rPr>
          <w:rFonts w:ascii="Arial Narrow" w:hAnsi="Arial Narrow"/>
        </w:rPr>
        <w:fldChar w:fldCharType="end"/>
      </w:r>
      <w:r w:rsidRPr="00465814">
        <w:rPr>
          <w:rFonts w:ascii="Arial Narrow" w:hAnsi="Arial Narrow"/>
        </w:rPr>
        <w:t>.</w:t>
      </w:r>
    </w:p>
    <w:p w:rsidR="001F7D05" w:rsidRPr="00465814" w:rsidRDefault="001F7D05" w:rsidP="001F7D05">
      <w:pPr>
        <w:autoSpaceDE w:val="0"/>
        <w:autoSpaceDN w:val="0"/>
        <w:adjustRightInd w:val="0"/>
        <w:jc w:val="both"/>
        <w:rPr>
          <w:rFonts w:ascii="Arial Narrow" w:hAnsi="Arial Narrow"/>
          <w:szCs w:val="19"/>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Финансови активи</w:t>
      </w:r>
    </w:p>
    <w:p w:rsidR="001F7D05" w:rsidRPr="00465814" w:rsidRDefault="001F7D05" w:rsidP="001F7D05">
      <w:pPr>
        <w:rPr>
          <w:rFonts w:ascii="Arial Narrow" w:hAnsi="Arial Narrow"/>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 изключение на </w:t>
      </w:r>
      <w:proofErr w:type="spellStart"/>
      <w:r w:rsidRPr="00465814">
        <w:rPr>
          <w:rFonts w:ascii="Arial Narrow" w:hAnsi="Arial Narrow"/>
          <w:szCs w:val="22"/>
        </w:rPr>
        <w:t>хеджиращите</w:t>
      </w:r>
      <w:proofErr w:type="spellEnd"/>
      <w:r w:rsidRPr="00465814">
        <w:rPr>
          <w:rFonts w:ascii="Arial Narrow" w:hAnsi="Arial Narrow"/>
          <w:szCs w:val="22"/>
        </w:rPr>
        <w:t xml:space="preserve"> инструменти, включват следните категории финансови инструменти: </w:t>
      </w:r>
    </w:p>
    <w:p w:rsidR="001F7D05" w:rsidRPr="00465814" w:rsidRDefault="001F7D05" w:rsidP="001F7D05">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кредити и вземания;</w:t>
      </w:r>
    </w:p>
    <w:p w:rsidR="001F7D05" w:rsidRPr="00465814" w:rsidRDefault="001F7D05" w:rsidP="001F7D05">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финансови активи, отчитани по справедлива стойност в печалбата или загубата;</w:t>
      </w:r>
    </w:p>
    <w:p w:rsidR="001F7D05" w:rsidRPr="00465814" w:rsidRDefault="001F7D05" w:rsidP="001F7D05">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инвестиции, държани до падеж;</w:t>
      </w:r>
    </w:p>
    <w:p w:rsidR="001F7D05" w:rsidRPr="00465814" w:rsidRDefault="001F7D05" w:rsidP="001F7D05">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финансови активи на разположение за продажба.</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jc w:val="both"/>
        <w:rPr>
          <w:rFonts w:ascii="Arial Narrow" w:eastAsia="Arial" w:hAnsi="Arial Narrow"/>
          <w:szCs w:val="18"/>
        </w:rPr>
      </w:pPr>
      <w:r w:rsidRPr="00465814">
        <w:rPr>
          <w:rFonts w:ascii="Arial Narrow" w:eastAsia="Arial" w:hAnsi="Arial Narrow"/>
          <w:szCs w:val="18"/>
        </w:rPr>
        <w:lastRenderedPageBreak/>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конкретни финансови активи или групи финансови активи.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723B3E">
        <w:rPr>
          <w:rFonts w:ascii="Arial Narrow" w:hAnsi="Arial Narrow"/>
          <w:szCs w:val="22"/>
        </w:rPr>
        <w:t xml:space="preserve">Кредитите и вземанията са </w:t>
      </w:r>
      <w:proofErr w:type="spellStart"/>
      <w:r w:rsidRPr="00723B3E">
        <w:rPr>
          <w:rFonts w:ascii="Arial Narrow" w:hAnsi="Arial Narrow"/>
          <w:szCs w:val="22"/>
        </w:rPr>
        <w:t>недеривативни</w:t>
      </w:r>
      <w:proofErr w:type="spellEnd"/>
      <w:r w:rsidRPr="00723B3E">
        <w:rPr>
          <w:rFonts w:ascii="Arial Narrow" w:hAnsi="Arial Narrow"/>
          <w:szCs w:val="22"/>
        </w:rPr>
        <w:t xml:space="preserve"> финансови инструменти с фиксирани плащания, които не се търгуват на активен пазар. Кредитите</w:t>
      </w:r>
      <w:r w:rsidRPr="00465814">
        <w:rPr>
          <w:rFonts w:ascii="Arial Narrow" w:hAnsi="Arial Narrow"/>
          <w:szCs w:val="22"/>
        </w:rPr>
        <w:t xml:space="preserve"> и вземанията </w:t>
      </w:r>
      <w:proofErr w:type="spellStart"/>
      <w:r w:rsidRPr="00465814">
        <w:rPr>
          <w:rFonts w:ascii="Arial Narrow" w:hAnsi="Arial Narrow"/>
          <w:szCs w:val="22"/>
        </w:rPr>
        <w:t>последващо</w:t>
      </w:r>
      <w:proofErr w:type="spellEnd"/>
      <w:r w:rsidRPr="00465814">
        <w:rPr>
          <w:rFonts w:ascii="Arial Narrow" w:hAnsi="Arial Narrow"/>
          <w:szCs w:val="22"/>
        </w:rPr>
        <w:t xml:space="preserve"> се оценяват по амортизирана стойност като се използва методът на ефективн</w:t>
      </w:r>
      <w:r>
        <w:rPr>
          <w:rFonts w:ascii="Arial Narrow" w:hAnsi="Arial Narrow"/>
          <w:szCs w:val="22"/>
        </w:rPr>
        <w:t>ия</w:t>
      </w:r>
      <w:r w:rsidRPr="00465814">
        <w:rPr>
          <w:rFonts w:ascii="Arial Narrow" w:hAnsi="Arial Narrow"/>
          <w:szCs w:val="22"/>
        </w:rPr>
        <w:t xml:space="preserve"> лихв</w:t>
      </w:r>
      <w:r>
        <w:rPr>
          <w:rFonts w:ascii="Arial Narrow" w:hAnsi="Arial Narrow"/>
          <w:szCs w:val="22"/>
        </w:rPr>
        <w:t>ен процент</w:t>
      </w:r>
      <w:r w:rsidRPr="00465814">
        <w:rPr>
          <w:rFonts w:ascii="Arial Narrow" w:hAnsi="Arial Narrow"/>
          <w:szCs w:val="22"/>
        </w:rPr>
        <w:t xml:space="preserve">.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Значими вземания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465814">
        <w:rPr>
          <w:rFonts w:ascii="Arial Narrow" w:hAnsi="Arial Narrow"/>
          <w:szCs w:val="22"/>
        </w:rPr>
        <w:t>обезценката</w:t>
      </w:r>
      <w:proofErr w:type="spellEnd"/>
      <w:r w:rsidRPr="00465814">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1F7D05" w:rsidRPr="00465814" w:rsidRDefault="001F7D05" w:rsidP="001F7D05">
      <w:pPr>
        <w:autoSpaceDE w:val="0"/>
        <w:autoSpaceDN w:val="0"/>
        <w:adjustRightInd w:val="0"/>
        <w:jc w:val="both"/>
        <w:rPr>
          <w:rFonts w:ascii="Arial Narrow" w:hAnsi="Arial Narrow"/>
          <w:szCs w:val="22"/>
        </w:rPr>
      </w:pPr>
    </w:p>
    <w:p w:rsidR="001F7D05" w:rsidRPr="003C44A4" w:rsidRDefault="001F7D05" w:rsidP="001F7D05">
      <w:pPr>
        <w:autoSpaceDE w:val="0"/>
        <w:autoSpaceDN w:val="0"/>
        <w:adjustRightInd w:val="0"/>
        <w:jc w:val="both"/>
        <w:rPr>
          <w:rFonts w:ascii="Arial Narrow" w:hAnsi="Arial Narrow"/>
          <w:szCs w:val="22"/>
          <w:highlight w:val="green"/>
        </w:rPr>
      </w:pPr>
    </w:p>
    <w:p w:rsidR="001F7D05" w:rsidRPr="007441F4" w:rsidRDefault="001F7D05" w:rsidP="001F7D05">
      <w:pPr>
        <w:pStyle w:val="Heading2"/>
        <w:rPr>
          <w:rFonts w:ascii="Arial Narrow" w:hAnsi="Arial Narrow"/>
          <w:color w:val="auto"/>
          <w:lang w:val="bg-BG"/>
        </w:rPr>
      </w:pPr>
      <w:r w:rsidRPr="007441F4">
        <w:rPr>
          <w:rFonts w:ascii="Arial Narrow" w:hAnsi="Arial Narrow"/>
          <w:color w:val="auto"/>
          <w:lang w:val="bg-BG"/>
        </w:rPr>
        <w:t>Данъци върху дохода</w:t>
      </w:r>
    </w:p>
    <w:p w:rsidR="001F7D05" w:rsidRDefault="001F7D05" w:rsidP="001F7D05">
      <w:pPr>
        <w:rPr>
          <w:rFonts w:ascii="Arial Narrow" w:hAnsi="Arial Narrow"/>
        </w:rPr>
      </w:pPr>
      <w:r>
        <w:rPr>
          <w:rFonts w:ascii="Arial Narrow" w:hAnsi="Arial Narrow"/>
        </w:rPr>
        <w:t xml:space="preserve">Финансовият резултат на </w:t>
      </w:r>
      <w:r w:rsidRPr="008C3AC4">
        <w:rPr>
          <w:rFonts w:ascii="Arial Narrow" w:hAnsi="Arial Narrow"/>
        </w:rPr>
        <w:t xml:space="preserve">Дружеството </w:t>
      </w:r>
      <w:r>
        <w:rPr>
          <w:rFonts w:ascii="Arial Narrow" w:hAnsi="Arial Narrow"/>
        </w:rPr>
        <w:t xml:space="preserve">не подлежи на </w:t>
      </w:r>
      <w:r w:rsidRPr="008C3AC4">
        <w:rPr>
          <w:rFonts w:ascii="Arial Narrow" w:hAnsi="Arial Narrow"/>
        </w:rPr>
        <w:t>облага</w:t>
      </w:r>
      <w:r>
        <w:rPr>
          <w:rFonts w:ascii="Arial Narrow" w:hAnsi="Arial Narrow"/>
        </w:rPr>
        <w:t xml:space="preserve">не с корпоративен </w:t>
      </w:r>
      <w:r w:rsidRPr="008C3AC4">
        <w:rPr>
          <w:rFonts w:ascii="Arial Narrow" w:hAnsi="Arial Narrow"/>
        </w:rPr>
        <w:t>данък,</w:t>
      </w:r>
      <w:r>
        <w:rPr>
          <w:rFonts w:ascii="Arial Narrow" w:hAnsi="Arial Narrow"/>
        </w:rPr>
        <w:t xml:space="preserve"> </w:t>
      </w:r>
      <w:r w:rsidRPr="008C3AC4">
        <w:rPr>
          <w:rFonts w:ascii="Arial Narrow" w:hAnsi="Arial Narrow"/>
        </w:rPr>
        <w:t>съгл. чл. 175 от Закона за корпоративното подоходно облагане</w:t>
      </w:r>
      <w:r>
        <w:rPr>
          <w:rFonts w:ascii="Arial Narrow" w:hAnsi="Arial Narrow"/>
        </w:rPr>
        <w:t>.</w:t>
      </w:r>
    </w:p>
    <w:p w:rsidR="001F7D05" w:rsidRPr="00465814" w:rsidRDefault="001F7D05" w:rsidP="001F7D05">
      <w:pPr>
        <w:autoSpaceDE w:val="0"/>
        <w:autoSpaceDN w:val="0"/>
        <w:adjustRightInd w:val="0"/>
        <w:jc w:val="both"/>
        <w:rPr>
          <w:rFonts w:ascii="Arial Narrow" w:hAnsi="Arial Narrow"/>
          <w:color w:val="000000"/>
          <w:szCs w:val="22"/>
          <w:highlight w:val="cyan"/>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Пари и парични еквиваленти</w:t>
      </w:r>
    </w:p>
    <w:p w:rsidR="001F7D05" w:rsidRPr="00465814" w:rsidRDefault="001F7D05" w:rsidP="001F7D05">
      <w:pPr>
        <w:rPr>
          <w:rFonts w:ascii="Arial Narrow" w:hAnsi="Arial Narrow"/>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отчита като пари и парични </w:t>
      </w:r>
      <w:r>
        <w:rPr>
          <w:rFonts w:ascii="Arial Narrow" w:hAnsi="Arial Narrow"/>
          <w:szCs w:val="22"/>
        </w:rPr>
        <w:t>еквиваленти</w:t>
      </w:r>
      <w:r w:rsidRPr="00465814">
        <w:rPr>
          <w:rFonts w:ascii="Arial Narrow" w:hAnsi="Arial Narrow"/>
          <w:szCs w:val="22"/>
        </w:rPr>
        <w:t xml:space="preserve"> наличните пари в брой</w:t>
      </w:r>
      <w:r>
        <w:rPr>
          <w:rFonts w:ascii="Arial Narrow" w:hAnsi="Arial Narrow"/>
          <w:szCs w:val="22"/>
        </w:rPr>
        <w:t xml:space="preserve"> и </w:t>
      </w:r>
      <w:r w:rsidRPr="00465814">
        <w:rPr>
          <w:rFonts w:ascii="Arial Narrow" w:hAnsi="Arial Narrow"/>
          <w:szCs w:val="22"/>
        </w:rPr>
        <w:t>парични</w:t>
      </w:r>
      <w:r>
        <w:rPr>
          <w:rFonts w:ascii="Arial Narrow" w:hAnsi="Arial Narrow"/>
          <w:szCs w:val="22"/>
        </w:rPr>
        <w:t>те</w:t>
      </w:r>
      <w:r w:rsidRPr="00465814">
        <w:rPr>
          <w:rFonts w:ascii="Arial Narrow" w:hAnsi="Arial Narrow"/>
          <w:szCs w:val="22"/>
        </w:rPr>
        <w:t xml:space="preserve"> средства по банкови сметки</w:t>
      </w:r>
      <w:r>
        <w:rPr>
          <w:rFonts w:ascii="Arial Narrow" w:hAnsi="Arial Narrow"/>
          <w:szCs w:val="22"/>
        </w:rPr>
        <w:t>.</w:t>
      </w:r>
    </w:p>
    <w:p w:rsidR="001F7D05" w:rsidRPr="00465814" w:rsidRDefault="001F7D05" w:rsidP="001F7D05">
      <w:pPr>
        <w:rPr>
          <w:rFonts w:ascii="Arial Narrow" w:hAnsi="Arial Narrow"/>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Собствен капитал и плащания на дивиденти</w:t>
      </w:r>
    </w:p>
    <w:p w:rsidR="001F7D05" w:rsidRPr="00465814" w:rsidRDefault="001F7D05" w:rsidP="001F7D05">
      <w:pPr>
        <w:jc w:val="both"/>
        <w:rPr>
          <w:rFonts w:ascii="Arial Narrow" w:hAnsi="Arial Narrow"/>
        </w:rPr>
      </w:pPr>
    </w:p>
    <w:p w:rsidR="001F7D05" w:rsidRPr="00465814" w:rsidRDefault="001F7D05" w:rsidP="001F7D05">
      <w:pPr>
        <w:jc w:val="both"/>
        <w:rPr>
          <w:rFonts w:ascii="Arial Narrow" w:hAnsi="Arial Narrow"/>
        </w:rPr>
      </w:pPr>
      <w:r w:rsidRPr="00465814">
        <w:rPr>
          <w:rFonts w:ascii="Arial Narrow" w:hAnsi="Arial Narrow"/>
        </w:rPr>
        <w:t>Акционерният капитал на Дружеството отразява номиналната стойност на емитираните акции.</w:t>
      </w:r>
    </w:p>
    <w:p w:rsidR="001F7D05" w:rsidRPr="001F313C" w:rsidRDefault="001F7D05" w:rsidP="001F7D05">
      <w:pPr>
        <w:jc w:val="both"/>
        <w:rPr>
          <w:rFonts w:ascii="Arial Narrow" w:hAnsi="Arial Narrow"/>
          <w:szCs w:val="22"/>
          <w:lang w:val="ru-RU"/>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Неразпределената печалба</w:t>
      </w:r>
      <w:r w:rsidRPr="00465814">
        <w:rPr>
          <w:rFonts w:ascii="Arial Narrow" w:hAnsi="Arial Narrow"/>
          <w:color w:val="FF0000"/>
          <w:szCs w:val="22"/>
        </w:rPr>
        <w:t xml:space="preserve"> </w:t>
      </w:r>
      <w:r w:rsidRPr="00465814">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1F7D05" w:rsidRDefault="001F7D05" w:rsidP="001F7D05">
      <w:pPr>
        <w:spacing w:line="240" w:lineRule="atLeast"/>
        <w:jc w:val="both"/>
        <w:rPr>
          <w:rFonts w:ascii="Arial Narrow" w:hAnsi="Arial Narrow"/>
          <w:color w:val="000000"/>
        </w:rPr>
      </w:pPr>
    </w:p>
    <w:p w:rsidR="001F7D05" w:rsidRPr="00453E30" w:rsidRDefault="001F7D05" w:rsidP="001F7D05">
      <w:pPr>
        <w:spacing w:line="240" w:lineRule="atLeast"/>
        <w:jc w:val="both"/>
        <w:rPr>
          <w:rFonts w:ascii="Arial Narrow" w:hAnsi="Arial Narrow"/>
        </w:rPr>
      </w:pPr>
      <w:r w:rsidRPr="00453E30">
        <w:rPr>
          <w:rFonts w:ascii="Arial Narrow" w:hAnsi="Arial Narrow"/>
          <w:color w:val="000000"/>
        </w:rPr>
        <w:lastRenderedPageBreak/>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453E30">
        <w:rPr>
          <w:rFonts w:ascii="Arial Narrow" w:hAnsi="Arial Narrow"/>
        </w:rPr>
        <w:t>Печалбата за разпределение е финансовият резултат (счетоводна печалба/загуба), коригиран както следва:</w:t>
      </w:r>
    </w:p>
    <w:p w:rsidR="001F7D05" w:rsidRPr="00453E30" w:rsidRDefault="001F7D05" w:rsidP="001F7D05">
      <w:pPr>
        <w:pStyle w:val="firstline"/>
        <w:rPr>
          <w:rFonts w:ascii="Arial Narrow" w:hAnsi="Arial Narrow"/>
        </w:rPr>
      </w:pPr>
      <w:r w:rsidRPr="00453E30">
        <w:rPr>
          <w:rFonts w:ascii="Arial Narrow" w:hAnsi="Arial Narrow"/>
        </w:rPr>
        <w:t xml:space="preserve">1. увеличен/намален с разходите/приходите от </w:t>
      </w:r>
      <w:proofErr w:type="spellStart"/>
      <w:r w:rsidRPr="00453E30">
        <w:rPr>
          <w:rFonts w:ascii="Arial Narrow" w:hAnsi="Arial Narrow"/>
        </w:rPr>
        <w:t>последващи</w:t>
      </w:r>
      <w:proofErr w:type="spellEnd"/>
      <w:r w:rsidRPr="00453E30">
        <w:rPr>
          <w:rFonts w:ascii="Arial Narrow" w:hAnsi="Arial Narrow"/>
        </w:rPr>
        <w:t xml:space="preserve"> оценки на недвижими имоти;</w:t>
      </w:r>
    </w:p>
    <w:p w:rsidR="001F7D05" w:rsidRPr="00453E30" w:rsidRDefault="001F7D05" w:rsidP="001F7D05">
      <w:pPr>
        <w:pStyle w:val="firstline"/>
        <w:rPr>
          <w:rFonts w:ascii="Arial Narrow" w:hAnsi="Arial Narrow"/>
        </w:rPr>
      </w:pPr>
      <w:r w:rsidRPr="00453E30">
        <w:rPr>
          <w:rFonts w:ascii="Arial Narrow" w:hAnsi="Arial Narrow"/>
        </w:rPr>
        <w:t>2. увеличен/намален със загубите/печалбите от сделки по прехвърляне на собствеността върху недвижими имоти;</w:t>
      </w:r>
    </w:p>
    <w:p w:rsidR="001F7D05" w:rsidRPr="0048582A" w:rsidRDefault="001F7D05" w:rsidP="001F7D05">
      <w:pPr>
        <w:pStyle w:val="firstline"/>
        <w:rPr>
          <w:rFonts w:ascii="Arial Narrow" w:hAnsi="Arial Narrow"/>
        </w:rPr>
      </w:pPr>
      <w:r w:rsidRPr="0048582A">
        <w:rPr>
          <w:rFonts w:ascii="Arial Narrow" w:hAnsi="Arial Narrow"/>
        </w:rPr>
        <w:t>3. увеличен/намален в годината на прехвърляне на собствеността върху недвижими имоти с положителната/отрицателната разлика между:</w:t>
      </w:r>
    </w:p>
    <w:p w:rsidR="001F7D05" w:rsidRPr="0048582A" w:rsidRDefault="001F7D05" w:rsidP="001F7D05">
      <w:pPr>
        <w:pStyle w:val="firstline"/>
        <w:rPr>
          <w:rFonts w:ascii="Arial Narrow" w:hAnsi="Arial Narrow"/>
        </w:rPr>
      </w:pPr>
      <w:r w:rsidRPr="0048582A">
        <w:rPr>
          <w:rFonts w:ascii="Arial Narrow" w:hAnsi="Arial Narrow"/>
        </w:rPr>
        <w:t>а) продажната цена на недвижимия имот, и</w:t>
      </w:r>
    </w:p>
    <w:p w:rsidR="001F7D05" w:rsidRPr="0048582A" w:rsidRDefault="001F7D05" w:rsidP="001F7D05">
      <w:pPr>
        <w:pStyle w:val="firstline"/>
        <w:rPr>
          <w:rFonts w:ascii="Arial Narrow" w:hAnsi="Arial Narrow"/>
        </w:rPr>
      </w:pPr>
      <w:r w:rsidRPr="0048582A">
        <w:rPr>
          <w:rFonts w:ascii="Arial Narrow" w:hAnsi="Arial Narrow"/>
        </w:rPr>
        <w:t xml:space="preserve">б) сумата от историческата цена на недвижимия имот и </w:t>
      </w:r>
      <w:proofErr w:type="spellStart"/>
      <w:r w:rsidRPr="0048582A">
        <w:rPr>
          <w:rFonts w:ascii="Arial Narrow" w:hAnsi="Arial Narrow"/>
        </w:rPr>
        <w:t>последващите</w:t>
      </w:r>
      <w:proofErr w:type="spellEnd"/>
      <w:r w:rsidRPr="0048582A">
        <w:rPr>
          <w:rFonts w:ascii="Arial Narrow" w:hAnsi="Arial Narrow"/>
        </w:rPr>
        <w:t xml:space="preserve"> разходи, довели до увеличение на балансовата му сума;</w:t>
      </w:r>
    </w:p>
    <w:p w:rsidR="001F7D05" w:rsidRPr="00465814" w:rsidRDefault="001F7D05" w:rsidP="001F7D05">
      <w:pPr>
        <w:autoSpaceDE w:val="0"/>
        <w:autoSpaceDN w:val="0"/>
        <w:adjustRightInd w:val="0"/>
        <w:rPr>
          <w:rFonts w:ascii="Arial Narrow" w:hAnsi="Arial Narrow"/>
          <w:szCs w:val="22"/>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Пенсионни и други задължения към персонала</w:t>
      </w:r>
    </w:p>
    <w:p w:rsidR="001F7D05" w:rsidRPr="00465814" w:rsidRDefault="001F7D05" w:rsidP="001F7D05">
      <w:pPr>
        <w:jc w:val="both"/>
        <w:rPr>
          <w:rFonts w:ascii="Arial Narrow" w:hAnsi="Arial Narrow"/>
          <w:szCs w:val="22"/>
        </w:rPr>
      </w:pPr>
      <w:r w:rsidRPr="00465814">
        <w:rPr>
          <w:rFonts w:ascii="Arial Narrow" w:hAnsi="Arial Narrow"/>
        </w:rPr>
        <w:t>Краткосрочните задължения към персонала включват надници, заплати и социални осигуровки.</w:t>
      </w:r>
    </w:p>
    <w:p w:rsidR="001F7D05" w:rsidRPr="00465814" w:rsidRDefault="001F7D05" w:rsidP="001F7D05">
      <w:pPr>
        <w:jc w:val="both"/>
        <w:rPr>
          <w:rFonts w:ascii="Arial Narrow" w:hAnsi="Arial Narrow"/>
          <w:b/>
          <w:szCs w:val="22"/>
        </w:rPr>
      </w:pPr>
    </w:p>
    <w:p w:rsidR="001F7D05" w:rsidRPr="00465814" w:rsidRDefault="001F7D05" w:rsidP="001F7D05">
      <w:pPr>
        <w:jc w:val="both"/>
        <w:rPr>
          <w:rFonts w:ascii="Arial Narrow" w:hAnsi="Arial Narrow"/>
        </w:rPr>
      </w:pPr>
      <w:r w:rsidRPr="00465814">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1F7D05" w:rsidRPr="00971DDD" w:rsidRDefault="001F7D05" w:rsidP="001F7D05">
      <w:pPr>
        <w:jc w:val="both"/>
        <w:rPr>
          <w:rFonts w:ascii="Arial Narrow" w:hAnsi="Arial Narrow"/>
        </w:rPr>
      </w:pPr>
      <w:r w:rsidRPr="00465814">
        <w:rPr>
          <w:rFonts w:ascii="Arial Narrow" w:hAnsi="Arial Narrow"/>
        </w:rPr>
        <w:t xml:space="preserve"> </w:t>
      </w: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Финансови пасиви</w:t>
      </w:r>
    </w:p>
    <w:p w:rsidR="001F7D05" w:rsidRPr="00465814" w:rsidRDefault="001F7D05" w:rsidP="001F7D05">
      <w:pPr>
        <w:autoSpaceDE w:val="0"/>
        <w:autoSpaceDN w:val="0"/>
        <w:adjustRightInd w:val="0"/>
        <w:jc w:val="both"/>
        <w:rPr>
          <w:rFonts w:ascii="Arial Narrow" w:hAnsi="Arial Narrow"/>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пасиви включват </w:t>
      </w:r>
      <w:r>
        <w:rPr>
          <w:rFonts w:ascii="Arial Narrow" w:hAnsi="Arial Narrow"/>
          <w:szCs w:val="22"/>
        </w:rPr>
        <w:t xml:space="preserve">банкови </w:t>
      </w:r>
      <w:r w:rsidRPr="00EE5402">
        <w:rPr>
          <w:rFonts w:ascii="Arial Narrow" w:hAnsi="Arial Narrow"/>
          <w:szCs w:val="22"/>
        </w:rPr>
        <w:t>заеми, търговски и други задължения.</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1F7D05" w:rsidRPr="00465814" w:rsidRDefault="001F7D05" w:rsidP="001F7D05">
      <w:pPr>
        <w:autoSpaceDE w:val="0"/>
        <w:autoSpaceDN w:val="0"/>
        <w:adjustRightInd w:val="0"/>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Банковите заеми са взети с цел </w:t>
      </w:r>
      <w:r w:rsidRPr="00453E30">
        <w:rPr>
          <w:rFonts w:ascii="Arial Narrow" w:hAnsi="Arial Narrow"/>
          <w:szCs w:val="22"/>
        </w:rPr>
        <w:t>краткосрочно</w:t>
      </w:r>
      <w:r w:rsidRPr="00465814">
        <w:rPr>
          <w:rFonts w:ascii="Arial Narrow" w:hAnsi="Arial Narrow"/>
          <w:szCs w:val="22"/>
        </w:rPr>
        <w:t xml:space="preserve"> подпомагане дейността на Дружеството. Те са отразени в баланса на Дружеството, нетно от разходите по получаването на кредита. </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465814">
        <w:rPr>
          <w:rFonts w:ascii="Arial Narrow" w:hAnsi="Arial Narrow"/>
          <w:szCs w:val="22"/>
        </w:rPr>
        <w:t>амортизируема</w:t>
      </w:r>
      <w:proofErr w:type="spellEnd"/>
      <w:r w:rsidRPr="00465814">
        <w:rPr>
          <w:rFonts w:ascii="Arial Narrow" w:hAnsi="Arial Narrow"/>
          <w:szCs w:val="22"/>
        </w:rPr>
        <w:t xml:space="preserve"> стойност, намалена с плащания по уреждане на задължението.</w:t>
      </w:r>
    </w:p>
    <w:p w:rsidR="001F7D05" w:rsidRPr="00465814" w:rsidRDefault="001F7D05" w:rsidP="001F7D05">
      <w:pPr>
        <w:autoSpaceDE w:val="0"/>
        <w:autoSpaceDN w:val="0"/>
        <w:adjustRightInd w:val="0"/>
        <w:jc w:val="both"/>
        <w:rPr>
          <w:rFonts w:ascii="Arial Narrow" w:hAnsi="Arial Narrow"/>
          <w:szCs w:val="22"/>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1F7D05" w:rsidRPr="00465814" w:rsidRDefault="001F7D05" w:rsidP="001F7D05">
      <w:pPr>
        <w:autoSpaceDE w:val="0"/>
        <w:autoSpaceDN w:val="0"/>
        <w:adjustRightInd w:val="0"/>
        <w:rPr>
          <w:rFonts w:ascii="Arial Narrow" w:hAnsi="Arial Narrow"/>
          <w:szCs w:val="22"/>
        </w:rPr>
      </w:pPr>
    </w:p>
    <w:p w:rsidR="001F7D05" w:rsidRPr="00465814" w:rsidRDefault="001F7D05" w:rsidP="001F7D05">
      <w:pPr>
        <w:pStyle w:val="Heading2"/>
        <w:rPr>
          <w:rFonts w:ascii="Arial Narrow" w:hAnsi="Arial Narrow"/>
          <w:color w:val="auto"/>
          <w:lang w:val="bg-BG"/>
        </w:rPr>
      </w:pPr>
      <w:r w:rsidRPr="00465814">
        <w:rPr>
          <w:rFonts w:ascii="Arial Narrow" w:hAnsi="Arial Narrow"/>
          <w:color w:val="auto"/>
          <w:lang w:val="bg-BG"/>
        </w:rPr>
        <w:t>Провизии, условни активи и условни пасиви</w:t>
      </w:r>
    </w:p>
    <w:p w:rsidR="001F7D05" w:rsidRPr="00465814" w:rsidRDefault="001F7D05" w:rsidP="001F7D05">
      <w:pPr>
        <w:jc w:val="both"/>
        <w:rPr>
          <w:rFonts w:ascii="Arial Narrow" w:hAnsi="Arial Narrow"/>
        </w:rPr>
      </w:pPr>
    </w:p>
    <w:p w:rsidR="001F7D05" w:rsidRPr="00F815BA" w:rsidRDefault="001F7D05" w:rsidP="001F7D05">
      <w:pPr>
        <w:pStyle w:val="BodyText"/>
        <w:spacing w:after="120"/>
        <w:jc w:val="both"/>
        <w:rPr>
          <w:lang w:val="ru-RU"/>
        </w:rPr>
      </w:pPr>
      <w:r w:rsidRPr="00465814">
        <w:rPr>
          <w:rFonts w:ascii="Arial Narrow" w:hAnsi="Arial Narrow"/>
          <w:lang w:val="bg-B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465814">
        <w:rPr>
          <w:rFonts w:ascii="Arial Narrow" w:hAnsi="Arial Narrow"/>
          <w:lang w:val="bg-BG" w:eastAsia="de-DE"/>
        </w:rPr>
        <w:t>срочността</w:t>
      </w:r>
      <w:proofErr w:type="spellEnd"/>
      <w:r w:rsidRPr="00465814">
        <w:rPr>
          <w:rFonts w:ascii="Arial Narrow" w:hAnsi="Arial Narrow"/>
          <w:lang w:val="bg-BG" w:eastAsia="de-DE"/>
        </w:rPr>
        <w:t xml:space="preserve"> или сумата на изходящия паричен поток да не са сигурни. Сегашно задължение се поражда от наличието на правно или конструктивно </w:t>
      </w:r>
      <w:r w:rsidRPr="00465814">
        <w:rPr>
          <w:rFonts w:ascii="Arial Narrow" w:hAnsi="Arial Narrow"/>
          <w:lang w:val="bg-BG" w:eastAsia="de-DE"/>
        </w:rPr>
        <w:lastRenderedPageBreak/>
        <w:t>задължение вследствие на минали събити</w:t>
      </w:r>
      <w:r w:rsidRPr="0088637C">
        <w:rPr>
          <w:rFonts w:ascii="Arial Narrow" w:hAnsi="Arial Narrow"/>
          <w:lang w:val="bg-BG" w:eastAsia="de-DE"/>
        </w:rPr>
        <w:t>я.</w:t>
      </w:r>
      <w:r w:rsidRPr="00465814">
        <w:rPr>
          <w:rFonts w:ascii="Arial Narrow" w:hAnsi="Arial Narrow"/>
          <w:lang w:val="bg-BG" w:eastAsia="de-DE"/>
        </w:rPr>
        <w:t xml:space="preserve">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465814">
        <w:rPr>
          <w:rFonts w:ascii="Arial Narrow" w:hAnsi="Arial Narrow"/>
          <w:szCs w:val="24"/>
          <w:lang w:val="bg-BG" w:eastAsia="de-DE"/>
        </w:rPr>
        <w:t>бъдещи загуби от дейността не се признават.</w:t>
      </w:r>
    </w:p>
    <w:p w:rsidR="001F7D05" w:rsidRPr="00465814" w:rsidRDefault="001F7D05" w:rsidP="001F7D05">
      <w:pPr>
        <w:autoSpaceDE w:val="0"/>
        <w:autoSpaceDN w:val="0"/>
        <w:adjustRightInd w:val="0"/>
        <w:jc w:val="both"/>
        <w:rPr>
          <w:rFonts w:ascii="Arial Narrow" w:hAnsi="Arial Narrow"/>
          <w:lang w:eastAsia="de-DE"/>
        </w:rPr>
      </w:pPr>
      <w:r w:rsidRPr="00465814">
        <w:rPr>
          <w:rFonts w:ascii="Arial Narrow" w:hAnsi="Arial Narrow"/>
          <w:lang w:eastAsia="de-DE"/>
        </w:rPr>
        <w:t xml:space="preserve">Сумата, която се признава като </w:t>
      </w:r>
      <w:proofErr w:type="spellStart"/>
      <w:r w:rsidRPr="00465814">
        <w:rPr>
          <w:rFonts w:ascii="Arial Narrow" w:hAnsi="Arial Narrow"/>
          <w:lang w:eastAsia="de-DE"/>
        </w:rPr>
        <w:t>провизия</w:t>
      </w:r>
      <w:proofErr w:type="spellEnd"/>
      <w:r w:rsidRPr="00465814">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465814">
        <w:rPr>
          <w:rFonts w:ascii="Arial Narrow" w:hAnsi="Arial Narrow"/>
          <w:lang w:eastAsia="de-DE"/>
        </w:rPr>
        <w:t>дисконтират</w:t>
      </w:r>
      <w:proofErr w:type="spellEnd"/>
      <w:r w:rsidRPr="00465814">
        <w:rPr>
          <w:rFonts w:ascii="Arial Narrow" w:hAnsi="Arial Narrow"/>
          <w:lang w:eastAsia="de-DE"/>
        </w:rPr>
        <w:t xml:space="preserve">, когато ефектът от </w:t>
      </w:r>
      <w:r w:rsidRPr="00465814">
        <w:rPr>
          <w:rFonts w:ascii="Arial Narrow" w:hAnsi="Arial Narrow" w:cs="SPTime-Bold"/>
          <w:bCs/>
          <w:lang w:eastAsia="bg-BG"/>
        </w:rPr>
        <w:t xml:space="preserve">времевите разлики в стойността на парите </w:t>
      </w:r>
      <w:r w:rsidRPr="00465814">
        <w:rPr>
          <w:rFonts w:ascii="Arial Narrow" w:hAnsi="Arial Narrow"/>
          <w:lang w:eastAsia="de-DE"/>
        </w:rPr>
        <w:t>е значителен.</w:t>
      </w:r>
    </w:p>
    <w:p w:rsidR="001F7D05" w:rsidRPr="00465814" w:rsidRDefault="001F7D05" w:rsidP="001F7D05">
      <w:pPr>
        <w:autoSpaceDE w:val="0"/>
        <w:autoSpaceDN w:val="0"/>
        <w:adjustRightInd w:val="0"/>
        <w:jc w:val="both"/>
        <w:rPr>
          <w:rFonts w:ascii="Arial Narrow" w:hAnsi="Arial Narrow"/>
        </w:rPr>
      </w:pPr>
    </w:p>
    <w:p w:rsidR="001F7D05" w:rsidRPr="00465814" w:rsidRDefault="001F7D05" w:rsidP="001F7D05">
      <w:pPr>
        <w:autoSpaceDE w:val="0"/>
        <w:autoSpaceDN w:val="0"/>
        <w:adjustRightInd w:val="0"/>
        <w:jc w:val="both"/>
        <w:rPr>
          <w:rFonts w:ascii="Arial Narrow" w:hAnsi="Arial Narrow"/>
          <w:szCs w:val="22"/>
        </w:rPr>
      </w:pPr>
      <w:r w:rsidRPr="00465814">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465814">
        <w:rPr>
          <w:rFonts w:ascii="Arial Narrow" w:hAnsi="Arial Narrow"/>
          <w:szCs w:val="22"/>
        </w:rPr>
        <w:t>провизия</w:t>
      </w:r>
      <w:proofErr w:type="spellEnd"/>
      <w:r w:rsidRPr="00465814">
        <w:rPr>
          <w:rFonts w:ascii="Arial Narrow" w:hAnsi="Arial Narrow"/>
          <w:szCs w:val="22"/>
        </w:rPr>
        <w:t xml:space="preserve">. </w:t>
      </w:r>
    </w:p>
    <w:p w:rsidR="001F7D05" w:rsidRPr="00465814" w:rsidRDefault="001F7D05" w:rsidP="001F7D05">
      <w:pPr>
        <w:autoSpaceDE w:val="0"/>
        <w:autoSpaceDN w:val="0"/>
        <w:adjustRightInd w:val="0"/>
        <w:jc w:val="both"/>
        <w:rPr>
          <w:rFonts w:ascii="Arial Narrow" w:hAnsi="Arial Narrow"/>
          <w:szCs w:val="22"/>
        </w:rPr>
      </w:pPr>
    </w:p>
    <w:p w:rsidR="001F7D05" w:rsidRDefault="001F7D05" w:rsidP="001F7D05">
      <w:pPr>
        <w:pStyle w:val="BodyText"/>
        <w:jc w:val="both"/>
        <w:rPr>
          <w:rFonts w:ascii="Arial Narrow" w:hAnsi="Arial Narrow"/>
          <w:lang w:val="bg-BG"/>
        </w:rPr>
      </w:pPr>
      <w:r w:rsidRPr="00465814">
        <w:rPr>
          <w:rFonts w:ascii="Arial Narrow" w:hAnsi="Arial Narrow"/>
          <w:color w:val="auto"/>
          <w:lang w:val="bg-BG"/>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465814">
        <w:rPr>
          <w:rFonts w:ascii="Arial Narrow" w:hAnsi="Arial Narrow"/>
          <w:lang w:val="bg-BG"/>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1F7D05" w:rsidRDefault="001F7D05" w:rsidP="001F7D05">
      <w:pPr>
        <w:pStyle w:val="BodyText"/>
        <w:jc w:val="both"/>
        <w:rPr>
          <w:rFonts w:ascii="Arial Narrow" w:hAnsi="Arial Narrow"/>
          <w:lang w:val="bg-BG"/>
        </w:rPr>
      </w:pPr>
    </w:p>
    <w:p w:rsidR="001F7D05" w:rsidRPr="00F815BA" w:rsidRDefault="001F7D05" w:rsidP="001F7D05">
      <w:pPr>
        <w:pStyle w:val="BodyText"/>
        <w:jc w:val="both"/>
        <w:rPr>
          <w:lang w:val="ru-RU"/>
        </w:rPr>
      </w:pPr>
    </w:p>
    <w:p w:rsidR="001F7D05" w:rsidRPr="00465814" w:rsidRDefault="001F7D05" w:rsidP="001F7D05">
      <w:pPr>
        <w:pStyle w:val="Heading2"/>
        <w:spacing w:line="240" w:lineRule="auto"/>
        <w:jc w:val="both"/>
        <w:rPr>
          <w:rFonts w:ascii="Arial Narrow" w:hAnsi="Arial Narrow"/>
          <w:iCs/>
          <w:szCs w:val="24"/>
          <w:lang w:val="bg-BG"/>
        </w:rPr>
      </w:pPr>
      <w:bookmarkStart w:id="46" w:name="_Ref198462610"/>
      <w:r w:rsidRPr="00465814">
        <w:rPr>
          <w:rFonts w:ascii="Arial Narrow" w:hAnsi="Arial Narrow"/>
          <w:szCs w:val="24"/>
          <w:lang w:val="bg-BG"/>
        </w:rPr>
        <w:t xml:space="preserve">Значими преценки на ръководството при прилагане на счетоводната </w:t>
      </w:r>
      <w:bookmarkEnd w:id="46"/>
      <w:r w:rsidRPr="00465814">
        <w:rPr>
          <w:rFonts w:ascii="Arial Narrow" w:hAnsi="Arial Narrow"/>
          <w:szCs w:val="24"/>
          <w:lang w:val="bg-BG"/>
        </w:rPr>
        <w:t>политика</w:t>
      </w:r>
    </w:p>
    <w:p w:rsidR="001F7D05" w:rsidRPr="00465814" w:rsidRDefault="001F7D05" w:rsidP="001F7D05">
      <w:pPr>
        <w:pStyle w:val="Heading1"/>
        <w:numPr>
          <w:ilvl w:val="0"/>
          <w:numId w:val="0"/>
        </w:numPr>
        <w:jc w:val="both"/>
        <w:rPr>
          <w:rFonts w:ascii="Arial Narrow" w:hAnsi="Arial Narrow"/>
          <w:b w:val="0"/>
          <w:szCs w:val="24"/>
          <w:lang w:val="bg-BG" w:eastAsia="de-DE"/>
        </w:rPr>
      </w:pPr>
    </w:p>
    <w:p w:rsidR="001F7D05" w:rsidRPr="001F313C" w:rsidRDefault="001F7D05" w:rsidP="001F7D05">
      <w:pPr>
        <w:pStyle w:val="Heading1"/>
        <w:numPr>
          <w:ilvl w:val="0"/>
          <w:numId w:val="0"/>
        </w:numPr>
        <w:jc w:val="both"/>
        <w:rPr>
          <w:rFonts w:ascii="Arial Narrow" w:hAnsi="Arial Narrow"/>
          <w:b w:val="0"/>
          <w:szCs w:val="24"/>
          <w:lang w:val="ru-RU" w:eastAsia="de-DE"/>
        </w:rPr>
      </w:pPr>
      <w:r w:rsidRPr="00465814">
        <w:rPr>
          <w:rFonts w:ascii="Arial Narrow" w:hAnsi="Arial Narrow"/>
          <w:b w:val="0"/>
          <w:lang w:val="bg-B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1F313C">
        <w:rPr>
          <w:rFonts w:ascii="Arial Narrow" w:hAnsi="Arial Narrow"/>
          <w:b w:val="0"/>
          <w:szCs w:val="24"/>
          <w:lang w:val="ru-RU" w:eastAsia="de-DE"/>
        </w:rPr>
        <w:t xml:space="preserve"> </w:t>
      </w:r>
      <w:r w:rsidRPr="00465814">
        <w:rPr>
          <w:rFonts w:ascii="Arial Narrow" w:hAnsi="Arial Narrow"/>
          <w:b w:val="0"/>
          <w:szCs w:val="24"/>
          <w:lang w:eastAsia="de-DE"/>
        </w:rPr>
        <w:fldChar w:fldCharType="begin"/>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 xml:space="preserve"> _</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215285703 \</w:instrText>
      </w:r>
      <w:r w:rsidRPr="00465814">
        <w:rPr>
          <w:rFonts w:ascii="Arial Narrow" w:hAnsi="Arial Narrow"/>
          <w:b w:val="0"/>
          <w:szCs w:val="24"/>
          <w:lang w:eastAsia="de-DE"/>
        </w:rPr>
        <w:instrText>r</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h</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r>
      <w:r w:rsidRPr="001F313C">
        <w:rPr>
          <w:rFonts w:ascii="Arial Narrow" w:hAnsi="Arial Narrow"/>
          <w:b w:val="0"/>
          <w:szCs w:val="24"/>
          <w:lang w:val="ru-RU" w:eastAsia="de-DE"/>
        </w:rPr>
        <w:instrText xml:space="preserve"> \* </w:instrText>
      </w:r>
      <w:r w:rsidRPr="00465814">
        <w:rPr>
          <w:rFonts w:ascii="Arial Narrow" w:hAnsi="Arial Narrow"/>
          <w:b w:val="0"/>
          <w:szCs w:val="24"/>
          <w:lang w:eastAsia="de-DE"/>
        </w:rPr>
        <w:instrText>MERGEFORMAT</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fldChar w:fldCharType="separate"/>
      </w:r>
      <w:r w:rsidRPr="00A94A79">
        <w:rPr>
          <w:rFonts w:ascii="Arial Narrow" w:hAnsi="Arial Narrow"/>
          <w:b w:val="0"/>
          <w:szCs w:val="24"/>
          <w:lang w:val="ru-RU" w:eastAsia="de-DE"/>
        </w:rPr>
        <w:t>3.18</w:t>
      </w:r>
      <w:r w:rsidRPr="00465814">
        <w:rPr>
          <w:rFonts w:ascii="Arial Narrow" w:hAnsi="Arial Narrow"/>
          <w:b w:val="0"/>
          <w:szCs w:val="24"/>
          <w:lang w:eastAsia="de-DE"/>
        </w:rPr>
        <w:fldChar w:fldCharType="end"/>
      </w:r>
      <w:r w:rsidRPr="001F313C">
        <w:rPr>
          <w:rFonts w:ascii="Arial Narrow" w:hAnsi="Arial Narrow"/>
          <w:b w:val="0"/>
          <w:szCs w:val="24"/>
          <w:lang w:val="ru-RU" w:eastAsia="de-DE"/>
        </w:rPr>
        <w:t>.</w:t>
      </w:r>
    </w:p>
    <w:p w:rsidR="001F7D05" w:rsidRPr="00465814" w:rsidRDefault="001F7D05" w:rsidP="001F7D05">
      <w:pPr>
        <w:pStyle w:val="Heading1"/>
        <w:numPr>
          <w:ilvl w:val="0"/>
          <w:numId w:val="0"/>
        </w:numPr>
        <w:jc w:val="both"/>
        <w:rPr>
          <w:rFonts w:ascii="Arial Narrow" w:hAnsi="Arial Narrow"/>
          <w:b w:val="0"/>
          <w:szCs w:val="24"/>
          <w:lang w:val="bg-BG" w:eastAsia="de-DE"/>
        </w:rPr>
      </w:pPr>
    </w:p>
    <w:p w:rsidR="001F7D05" w:rsidRPr="00465814" w:rsidRDefault="001F7D05" w:rsidP="001F7D05">
      <w:pPr>
        <w:jc w:val="both"/>
        <w:rPr>
          <w:rFonts w:ascii="Arial Narrow" w:hAnsi="Arial Narrow"/>
        </w:rPr>
      </w:pPr>
    </w:p>
    <w:p w:rsidR="001F7D05" w:rsidRPr="00465814" w:rsidRDefault="001F7D05" w:rsidP="001F7D05">
      <w:pPr>
        <w:pStyle w:val="Heading2"/>
        <w:spacing w:line="240" w:lineRule="auto"/>
        <w:jc w:val="both"/>
        <w:rPr>
          <w:rFonts w:ascii="Arial Narrow" w:hAnsi="Arial Narrow"/>
          <w:szCs w:val="24"/>
          <w:lang w:val="bg-BG"/>
        </w:rPr>
      </w:pPr>
      <w:bookmarkStart w:id="47" w:name="_Ref215285703"/>
      <w:r w:rsidRPr="00465814">
        <w:rPr>
          <w:rFonts w:ascii="Arial Narrow" w:hAnsi="Arial Narrow"/>
          <w:szCs w:val="24"/>
          <w:lang w:val="bg-BG"/>
        </w:rPr>
        <w:t>Несигурност на счетоводните приблизителни оценки</w:t>
      </w:r>
      <w:bookmarkEnd w:id="47"/>
    </w:p>
    <w:p w:rsidR="001F7D05" w:rsidRPr="00465814" w:rsidRDefault="001F7D05" w:rsidP="001F7D05">
      <w:pPr>
        <w:jc w:val="both"/>
        <w:rPr>
          <w:rFonts w:ascii="Arial Narrow" w:hAnsi="Arial Narrow"/>
        </w:rPr>
      </w:pPr>
    </w:p>
    <w:p w:rsidR="001F7D05" w:rsidRPr="00465814" w:rsidRDefault="001F7D05" w:rsidP="001F7D05">
      <w:pPr>
        <w:jc w:val="both"/>
        <w:rPr>
          <w:rFonts w:ascii="Arial Narrow" w:hAnsi="Arial Narrow"/>
        </w:rPr>
      </w:pPr>
      <w:r w:rsidRPr="00465814">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1F7D05" w:rsidRPr="00465814" w:rsidRDefault="001F7D05" w:rsidP="001F7D05">
      <w:pPr>
        <w:jc w:val="both"/>
        <w:rPr>
          <w:rFonts w:ascii="Arial Narrow" w:hAnsi="Arial Narrow"/>
        </w:rPr>
      </w:pPr>
    </w:p>
    <w:p w:rsidR="001F7D05" w:rsidRPr="00465814" w:rsidRDefault="001F7D05" w:rsidP="001F7D05">
      <w:pPr>
        <w:jc w:val="both"/>
        <w:rPr>
          <w:rFonts w:ascii="Arial Narrow" w:hAnsi="Arial Narrow"/>
        </w:rPr>
      </w:pPr>
      <w:r w:rsidRPr="00465814">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1F7D05" w:rsidRPr="00465814" w:rsidRDefault="001F7D05" w:rsidP="001F7D05">
      <w:pPr>
        <w:jc w:val="both"/>
        <w:rPr>
          <w:rFonts w:ascii="Arial Narrow" w:hAnsi="Arial Narrow"/>
        </w:rPr>
      </w:pPr>
    </w:p>
    <w:p w:rsidR="001F7D05" w:rsidRPr="00465814" w:rsidRDefault="001F7D05" w:rsidP="001F7D05">
      <w:pPr>
        <w:jc w:val="both"/>
        <w:rPr>
          <w:rFonts w:ascii="Arial Narrow" w:hAnsi="Arial Narrow"/>
        </w:rPr>
      </w:pPr>
      <w:r w:rsidRPr="00465814">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1F7D05" w:rsidRPr="001F2123" w:rsidRDefault="001F7D05" w:rsidP="001F7D05">
      <w:pPr>
        <w:pStyle w:val="BodyText"/>
        <w:jc w:val="both"/>
        <w:rPr>
          <w:rFonts w:ascii="Arial Narrow" w:hAnsi="Arial Narrow"/>
          <w:szCs w:val="24"/>
          <w:lang w:val="bg-BG" w:eastAsia="de-DE"/>
        </w:rPr>
      </w:pPr>
    </w:p>
    <w:p w:rsidR="001F7D05" w:rsidRPr="001F2123" w:rsidRDefault="001F7D05" w:rsidP="001F7D05">
      <w:pPr>
        <w:pStyle w:val="BodyText"/>
        <w:jc w:val="both"/>
        <w:rPr>
          <w:rFonts w:ascii="Arial Narrow" w:hAnsi="Arial Narrow"/>
          <w:szCs w:val="24"/>
          <w:lang w:val="bg-BG" w:eastAsia="de-DE"/>
        </w:rPr>
      </w:pPr>
    </w:p>
    <w:p w:rsidR="001F7D05" w:rsidRPr="00465814" w:rsidRDefault="001F7D05" w:rsidP="001F7D05">
      <w:pPr>
        <w:pStyle w:val="BodyText"/>
        <w:jc w:val="both"/>
        <w:rPr>
          <w:rFonts w:ascii="Arial Narrow" w:hAnsi="Arial Narrow"/>
          <w:szCs w:val="24"/>
          <w:lang w:val="bg-BG" w:eastAsia="de-DE"/>
        </w:rPr>
      </w:pPr>
    </w:p>
    <w:p w:rsidR="001F7D05" w:rsidRPr="008C72D5" w:rsidRDefault="001F7D05" w:rsidP="001F7D05">
      <w:pPr>
        <w:pStyle w:val="Heading2"/>
        <w:rPr>
          <w:rFonts w:ascii="Arial Narrow" w:hAnsi="Arial Narrow"/>
          <w:lang w:eastAsia="de-DE"/>
        </w:rPr>
      </w:pPr>
      <w:proofErr w:type="spellStart"/>
      <w:r w:rsidRPr="008C72D5">
        <w:rPr>
          <w:rFonts w:ascii="Arial Narrow" w:hAnsi="Arial Narrow"/>
          <w:lang w:eastAsia="de-DE"/>
        </w:rPr>
        <w:t>Полезен</w:t>
      </w:r>
      <w:proofErr w:type="spellEnd"/>
      <w:r w:rsidRPr="008C72D5">
        <w:rPr>
          <w:rFonts w:ascii="Arial Narrow" w:hAnsi="Arial Narrow"/>
          <w:lang w:eastAsia="de-DE"/>
        </w:rPr>
        <w:t xml:space="preserve"> </w:t>
      </w:r>
      <w:proofErr w:type="spellStart"/>
      <w:r w:rsidRPr="008C72D5">
        <w:rPr>
          <w:rFonts w:ascii="Arial Narrow" w:hAnsi="Arial Narrow"/>
          <w:lang w:eastAsia="de-DE"/>
        </w:rPr>
        <w:t>живот</w:t>
      </w:r>
      <w:proofErr w:type="spellEnd"/>
      <w:r w:rsidRPr="008C72D5">
        <w:rPr>
          <w:rFonts w:ascii="Arial Narrow" w:hAnsi="Arial Narrow"/>
          <w:lang w:eastAsia="de-DE"/>
        </w:rPr>
        <w:t xml:space="preserve"> </w:t>
      </w:r>
      <w:proofErr w:type="spellStart"/>
      <w:r w:rsidRPr="008C72D5">
        <w:rPr>
          <w:rFonts w:ascii="Arial Narrow" w:hAnsi="Arial Narrow"/>
          <w:lang w:eastAsia="de-DE"/>
        </w:rPr>
        <w:t>на</w:t>
      </w:r>
      <w:proofErr w:type="spellEnd"/>
      <w:r w:rsidRPr="008C72D5">
        <w:rPr>
          <w:rFonts w:ascii="Arial Narrow" w:hAnsi="Arial Narrow"/>
          <w:lang w:eastAsia="de-DE"/>
        </w:rPr>
        <w:t xml:space="preserve"> </w:t>
      </w:r>
      <w:proofErr w:type="spellStart"/>
      <w:r w:rsidRPr="008C72D5">
        <w:rPr>
          <w:rFonts w:ascii="Arial Narrow" w:hAnsi="Arial Narrow"/>
          <w:lang w:eastAsia="de-DE"/>
        </w:rPr>
        <w:t>амортизируемите</w:t>
      </w:r>
      <w:proofErr w:type="spellEnd"/>
      <w:r w:rsidRPr="008C72D5">
        <w:rPr>
          <w:rFonts w:ascii="Arial Narrow" w:hAnsi="Arial Narrow"/>
          <w:lang w:eastAsia="de-DE"/>
        </w:rPr>
        <w:t xml:space="preserve"> </w:t>
      </w:r>
      <w:proofErr w:type="spellStart"/>
      <w:r w:rsidRPr="008C72D5">
        <w:rPr>
          <w:rFonts w:ascii="Arial Narrow" w:hAnsi="Arial Narrow"/>
          <w:lang w:eastAsia="de-DE"/>
        </w:rPr>
        <w:t>активи</w:t>
      </w:r>
      <w:proofErr w:type="spellEnd"/>
    </w:p>
    <w:p w:rsidR="001F7D05" w:rsidRPr="00465814" w:rsidRDefault="001F7D05" w:rsidP="001F7D05">
      <w:pPr>
        <w:jc w:val="both"/>
        <w:rPr>
          <w:rFonts w:ascii="Arial Narrow" w:hAnsi="Arial Narrow"/>
          <w:lang w:eastAsia="de-DE"/>
        </w:rPr>
      </w:pPr>
    </w:p>
    <w:p w:rsidR="001F7D05" w:rsidRPr="00465814" w:rsidRDefault="001F7D05" w:rsidP="001F7D05">
      <w:pPr>
        <w:autoSpaceDE w:val="0"/>
        <w:autoSpaceDN w:val="0"/>
        <w:adjustRightInd w:val="0"/>
        <w:jc w:val="both"/>
        <w:rPr>
          <w:rFonts w:ascii="Arial Narrow" w:hAnsi="Arial Narrow" w:cs="Garamond"/>
          <w:szCs w:val="22"/>
        </w:rPr>
      </w:pPr>
      <w:r w:rsidRPr="00465814">
        <w:rPr>
          <w:rFonts w:ascii="Arial Narrow" w:hAnsi="Arial Narrow" w:cs="Garamond"/>
          <w:szCs w:val="22"/>
        </w:rPr>
        <w:t xml:space="preserve">Ръководството преразглежда полезния живот на </w:t>
      </w:r>
      <w:proofErr w:type="spellStart"/>
      <w:r w:rsidRPr="00465814">
        <w:rPr>
          <w:rFonts w:ascii="Arial Narrow" w:hAnsi="Arial Narrow" w:cs="Garamond"/>
          <w:szCs w:val="22"/>
        </w:rPr>
        <w:t>амортизируемите</w:t>
      </w:r>
      <w:proofErr w:type="spellEnd"/>
      <w:r w:rsidRPr="00465814">
        <w:rPr>
          <w:rFonts w:ascii="Arial Narrow" w:hAnsi="Arial Narrow" w:cs="Garamond"/>
          <w:szCs w:val="22"/>
        </w:rPr>
        <w:t xml:space="preserve"> активи в края на всеки отчетен период. Към 3</w:t>
      </w:r>
      <w:r>
        <w:rPr>
          <w:rFonts w:ascii="Arial Narrow" w:hAnsi="Arial Narrow" w:cs="Garamond"/>
          <w:szCs w:val="22"/>
          <w:lang w:val="en-US"/>
        </w:rPr>
        <w:t>1</w:t>
      </w:r>
      <w:r w:rsidRPr="00465814">
        <w:rPr>
          <w:rFonts w:ascii="Arial Narrow" w:hAnsi="Arial Narrow" w:cs="Garamond"/>
          <w:szCs w:val="22"/>
        </w:rPr>
        <w:t xml:space="preserve"> </w:t>
      </w:r>
      <w:r>
        <w:rPr>
          <w:rFonts w:ascii="Arial Narrow" w:hAnsi="Arial Narrow" w:cs="Garamond"/>
          <w:szCs w:val="22"/>
        </w:rPr>
        <w:t>декември 2014</w:t>
      </w:r>
      <w:r w:rsidRPr="00465814">
        <w:rPr>
          <w:rFonts w:ascii="Arial Narrow" w:hAnsi="Arial Narrow" w:cs="Garamond"/>
          <w:szCs w:val="22"/>
        </w:rPr>
        <w:t xml:space="preserve"> г. ръководството определя полезния живот на активите, който </w:t>
      </w:r>
      <w:r w:rsidRPr="00465814">
        <w:rPr>
          <w:rFonts w:ascii="Arial Narrow" w:hAnsi="Arial Narrow" w:cs="Garamond"/>
          <w:szCs w:val="22"/>
        </w:rPr>
        <w:lastRenderedPageBreak/>
        <w:t xml:space="preserve">представлява очакваният срок на ползване на активите от Дружеството. Балансовите стойности на активите са анализирани в пояснения </w:t>
      </w:r>
      <w:r w:rsidRPr="00465814">
        <w:rPr>
          <w:rFonts w:ascii="Arial Narrow" w:hAnsi="Arial Narrow" w:cs="Garamond"/>
          <w:szCs w:val="22"/>
        </w:rPr>
        <w:fldChar w:fldCharType="begin"/>
      </w:r>
      <w:r w:rsidRPr="00465814">
        <w:rPr>
          <w:rFonts w:ascii="Arial Narrow" w:hAnsi="Arial Narrow" w:cs="Garamond"/>
          <w:szCs w:val="22"/>
        </w:rPr>
        <w:instrText xml:space="preserve"> REF _Ref185325809 \r \h </w:instrText>
      </w:r>
      <w:r w:rsidRPr="00465814">
        <w:rPr>
          <w:rFonts w:ascii="Arial Narrow" w:hAnsi="Arial Narrow" w:cs="Garamond"/>
          <w:szCs w:val="22"/>
        </w:rPr>
      </w:r>
      <w:r w:rsidRPr="00465814">
        <w:rPr>
          <w:rFonts w:ascii="Arial Narrow" w:hAnsi="Arial Narrow" w:cs="Garamond"/>
          <w:szCs w:val="22"/>
        </w:rPr>
        <w:instrText xml:space="preserve"> \* MERGEFORMAT </w:instrText>
      </w:r>
      <w:r w:rsidRPr="00465814">
        <w:rPr>
          <w:rFonts w:ascii="Arial Narrow" w:hAnsi="Arial Narrow" w:cs="Garamond"/>
          <w:szCs w:val="22"/>
        </w:rPr>
        <w:fldChar w:fldCharType="separate"/>
      </w:r>
      <w:r>
        <w:rPr>
          <w:rFonts w:ascii="Arial Narrow" w:hAnsi="Arial Narrow" w:cs="Garamond"/>
          <w:szCs w:val="22"/>
        </w:rPr>
        <w:t>4</w:t>
      </w:r>
      <w:r w:rsidRPr="00465814">
        <w:rPr>
          <w:rFonts w:ascii="Arial Narrow" w:hAnsi="Arial Narrow" w:cs="Garamond"/>
          <w:szCs w:val="22"/>
        </w:rPr>
        <w:fldChar w:fldCharType="end"/>
      </w:r>
      <w:r w:rsidRPr="00465814">
        <w:rPr>
          <w:rFonts w:ascii="Arial Narrow" w:hAnsi="Arial Narrow" w:cs="Garamond"/>
          <w:szCs w:val="22"/>
        </w:rPr>
        <w:t xml:space="preserve"> и </w:t>
      </w:r>
      <w:r w:rsidRPr="00465814">
        <w:rPr>
          <w:rFonts w:ascii="Arial Narrow" w:hAnsi="Arial Narrow" w:cs="Garamond"/>
          <w:szCs w:val="22"/>
        </w:rPr>
        <w:fldChar w:fldCharType="begin"/>
      </w:r>
      <w:r w:rsidRPr="00465814">
        <w:rPr>
          <w:rFonts w:ascii="Arial Narrow" w:hAnsi="Arial Narrow" w:cs="Garamond"/>
          <w:szCs w:val="22"/>
        </w:rPr>
        <w:instrText xml:space="preserve"> REF _Ref95281238 \r \h </w:instrText>
      </w:r>
      <w:r w:rsidRPr="00465814">
        <w:rPr>
          <w:rFonts w:ascii="Arial Narrow" w:hAnsi="Arial Narrow" w:cs="Garamond"/>
          <w:szCs w:val="22"/>
        </w:rPr>
      </w:r>
      <w:r w:rsidRPr="00465814">
        <w:rPr>
          <w:rFonts w:ascii="Arial Narrow" w:hAnsi="Arial Narrow" w:cs="Garamond"/>
          <w:szCs w:val="22"/>
        </w:rPr>
        <w:instrText xml:space="preserve"> \* MERGEFORMAT </w:instrText>
      </w:r>
      <w:r w:rsidRPr="00465814">
        <w:rPr>
          <w:rFonts w:ascii="Arial Narrow" w:hAnsi="Arial Narrow" w:cs="Garamond"/>
          <w:szCs w:val="22"/>
        </w:rPr>
        <w:fldChar w:fldCharType="separate"/>
      </w:r>
      <w:r>
        <w:rPr>
          <w:rFonts w:ascii="Arial Narrow" w:hAnsi="Arial Narrow" w:cs="Garamond"/>
          <w:szCs w:val="22"/>
        </w:rPr>
        <w:t>6</w:t>
      </w:r>
      <w:r w:rsidRPr="00465814">
        <w:rPr>
          <w:rFonts w:ascii="Arial Narrow" w:hAnsi="Arial Narrow" w:cs="Garamond"/>
          <w:szCs w:val="22"/>
        </w:rPr>
        <w:fldChar w:fldCharType="end"/>
      </w:r>
      <w:r w:rsidRPr="00465814">
        <w:rPr>
          <w:rFonts w:ascii="Arial Narrow" w:hAnsi="Arial Narrow" w:cs="Garamond"/>
          <w:szCs w:val="22"/>
        </w:rPr>
        <w:t>.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787ACF" w:rsidRDefault="00787ACF">
      <w:pPr>
        <w:rPr>
          <w:lang w:val="en-US"/>
        </w:rPr>
      </w:pPr>
    </w:p>
    <w:p w:rsidR="001F7D05" w:rsidRDefault="001F7D05">
      <w:pPr>
        <w:rPr>
          <w:lang w:val="en-US"/>
        </w:rPr>
      </w:pPr>
    </w:p>
    <w:p w:rsidR="001F7D05" w:rsidRDefault="001F7D05">
      <w:pPr>
        <w:rPr>
          <w:lang w:val="en-US"/>
        </w:rPr>
      </w:pPr>
    </w:p>
    <w:p w:rsidR="001F7D05" w:rsidRPr="00E83EB6" w:rsidRDefault="001F7D05" w:rsidP="001F7D05">
      <w:pPr>
        <w:rPr>
          <w:rFonts w:ascii="Arial Narrow" w:hAnsi="Arial Narrow"/>
        </w:rPr>
      </w:pPr>
      <w:r w:rsidRPr="00E83EB6">
        <w:rPr>
          <w:rFonts w:ascii="Arial Narrow" w:hAnsi="Arial Narrow"/>
        </w:rPr>
        <w:t>Изготвил: ........................</w:t>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t>Председател на СД: ............................</w:t>
      </w:r>
    </w:p>
    <w:p w:rsidR="001F7D05" w:rsidRPr="00E83EB6" w:rsidRDefault="001F7D05" w:rsidP="001F7D05">
      <w:pPr>
        <w:rPr>
          <w:rFonts w:ascii="Arial Narrow" w:hAnsi="Arial Narrow"/>
        </w:rPr>
      </w:pPr>
      <w:r w:rsidRPr="00E83EB6">
        <w:rPr>
          <w:rFonts w:ascii="Arial Narrow" w:hAnsi="Arial Narrow"/>
        </w:rPr>
        <w:t xml:space="preserve">              /Георги Манев/</w:t>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t xml:space="preserve">/Виктор </w:t>
      </w:r>
      <w:proofErr w:type="spellStart"/>
      <w:r w:rsidRPr="00E83EB6">
        <w:rPr>
          <w:rFonts w:ascii="Arial Narrow" w:hAnsi="Arial Narrow"/>
        </w:rPr>
        <w:t>Серов</w:t>
      </w:r>
      <w:proofErr w:type="spellEnd"/>
      <w:r w:rsidRPr="00E83EB6">
        <w:rPr>
          <w:rFonts w:ascii="Arial Narrow" w:hAnsi="Arial Narrow"/>
        </w:rPr>
        <w:t>/</w:t>
      </w:r>
    </w:p>
    <w:p w:rsidR="001F7D05" w:rsidRPr="00E83EB6" w:rsidRDefault="001F7D05" w:rsidP="001F7D05">
      <w:pPr>
        <w:rPr>
          <w:rFonts w:ascii="Arial Narrow" w:hAnsi="Arial Narrow"/>
        </w:rPr>
      </w:pPr>
    </w:p>
    <w:p w:rsidR="001F7D05" w:rsidRDefault="001F7D05" w:rsidP="001F7D05"/>
    <w:p w:rsidR="001F7D05" w:rsidRPr="001F7D05" w:rsidRDefault="001F7D05">
      <w:pPr>
        <w:rPr>
          <w:lang w:val="en-US"/>
        </w:rPr>
      </w:pPr>
    </w:p>
    <w:sectPr w:rsidR="001F7D05" w:rsidRPr="001F7D0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E537BA"/>
    <w:multiLevelType w:val="multilevel"/>
    <w:tmpl w:val="F8325D40"/>
    <w:lvl w:ilvl="0">
      <w:start w:val="1"/>
      <w:numFmt w:val="decimal"/>
      <w:pStyle w:val="1"/>
      <w:lvlText w:val="%1."/>
      <w:lvlJc w:val="left"/>
      <w:pPr>
        <w:ind w:left="1142" w:hanging="432"/>
      </w:pPr>
      <w:rPr>
        <w:rFonts w:hint="default"/>
        <w:b/>
        <w:i w:val="0"/>
        <w:sz w:val="22"/>
        <w:szCs w:val="24"/>
      </w:rPr>
    </w:lvl>
    <w:lvl w:ilvl="1">
      <w:start w:val="1"/>
      <w:numFmt w:val="decimal"/>
      <w:pStyle w:val="11"/>
      <w:lvlText w:val="%1.%2"/>
      <w:lvlJc w:val="left"/>
      <w:pPr>
        <w:ind w:left="576" w:hanging="576"/>
      </w:pPr>
      <w:rPr>
        <w:rFonts w:hint="default"/>
      </w:rPr>
    </w:lvl>
    <w:lvl w:ilvl="2">
      <w:start w:val="1"/>
      <w:numFmt w:val="decimal"/>
      <w:pStyle w:val="1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nsid w:val="61F36445"/>
    <w:multiLevelType w:val="singleLevel"/>
    <w:tmpl w:val="054217F0"/>
    <w:lvl w:ilvl="0">
      <w:start w:val="1"/>
      <w:numFmt w:val="bullet"/>
      <w:pStyle w:val="Style1"/>
      <w:lvlText w:val=""/>
      <w:lvlJc w:val="left"/>
      <w:pPr>
        <w:tabs>
          <w:tab w:val="num" w:pos="340"/>
        </w:tabs>
        <w:ind w:left="340" w:hanging="340"/>
      </w:pPr>
      <w:rPr>
        <w:rFonts w:ascii="Symbol" w:hAnsi="Symbol" w:hint="default"/>
        <w:color w:val="auto"/>
        <w:sz w:val="22"/>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05"/>
    <w:rsid w:val="001F7D05"/>
    <w:rsid w:val="0078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05"/>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F7D05"/>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F7D05"/>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F7D05"/>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F7D05"/>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F7D05"/>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F7D05"/>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F7D05"/>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F7D05"/>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F7D05"/>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D05"/>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F7D05"/>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F7D05"/>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F7D05"/>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F7D05"/>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F7D05"/>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F7D05"/>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F7D05"/>
    <w:rPr>
      <w:rFonts w:ascii="Garamond" w:eastAsia="Times New Roman" w:hAnsi="Garamond" w:cs="Arial"/>
      <w:b/>
      <w:bCs/>
      <w:color w:val="000000"/>
      <w:szCs w:val="19"/>
    </w:rPr>
  </w:style>
  <w:style w:type="character" w:customStyle="1" w:styleId="Heading9Char">
    <w:name w:val="Heading 9 Char"/>
    <w:basedOn w:val="DefaultParagraphFont"/>
    <w:link w:val="Heading9"/>
    <w:rsid w:val="001F7D05"/>
    <w:rPr>
      <w:rFonts w:ascii="Garamond" w:eastAsia="Times New Roman" w:hAnsi="Garamond" w:cs="Times New Roman"/>
      <w:b/>
      <w:bCs/>
      <w:sz w:val="24"/>
      <w:szCs w:val="19"/>
    </w:rPr>
  </w:style>
  <w:style w:type="paragraph" w:styleId="Header">
    <w:name w:val="header"/>
    <w:basedOn w:val="Normal"/>
    <w:link w:val="HeaderChar"/>
    <w:rsid w:val="001F7D05"/>
    <w:pPr>
      <w:tabs>
        <w:tab w:val="center" w:pos="4153"/>
        <w:tab w:val="right" w:pos="8306"/>
      </w:tabs>
    </w:pPr>
  </w:style>
  <w:style w:type="character" w:customStyle="1" w:styleId="HeaderChar">
    <w:name w:val="Header Char"/>
    <w:basedOn w:val="DefaultParagraphFont"/>
    <w:link w:val="Header"/>
    <w:rsid w:val="001F7D05"/>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1F7D05"/>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1F7D05"/>
    <w:rPr>
      <w:rFonts w:ascii="Garamond" w:eastAsia="Times New Roman" w:hAnsi="Garamond" w:cs="Times New Roman"/>
      <w:color w:val="000000"/>
      <w:sz w:val="24"/>
    </w:rPr>
  </w:style>
  <w:style w:type="paragraph" w:styleId="BodyText2">
    <w:name w:val="Body Text 2"/>
    <w:basedOn w:val="Normal"/>
    <w:link w:val="BodyText2Char"/>
    <w:rsid w:val="001F7D05"/>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1F7D05"/>
    <w:rPr>
      <w:rFonts w:ascii="Garamond" w:eastAsia="Times New Roman" w:hAnsi="Garamond" w:cs="Times New Roman"/>
      <w:b/>
      <w:sz w:val="24"/>
      <w:szCs w:val="20"/>
    </w:rPr>
  </w:style>
  <w:style w:type="paragraph" w:styleId="BodyTextIndent2">
    <w:name w:val="Body Text Indent 2"/>
    <w:basedOn w:val="Normal"/>
    <w:link w:val="BodyTextIndent2Char"/>
    <w:rsid w:val="001F7D05"/>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1F7D05"/>
    <w:rPr>
      <w:rFonts w:ascii="Garamond" w:eastAsia="MS Mincho" w:hAnsi="Garamond" w:cs="Times New Roman"/>
      <w:sz w:val="24"/>
      <w:szCs w:val="24"/>
      <w:lang w:val="bg-BG"/>
    </w:rPr>
  </w:style>
  <w:style w:type="paragraph" w:customStyle="1" w:styleId="firstline">
    <w:name w:val="firstline"/>
    <w:basedOn w:val="Normal"/>
    <w:rsid w:val="001F7D05"/>
    <w:pPr>
      <w:spacing w:line="240" w:lineRule="atLeast"/>
      <w:ind w:firstLine="640"/>
      <w:jc w:val="both"/>
    </w:pPr>
    <w:rPr>
      <w:color w:val="000000"/>
      <w:lang w:eastAsia="bg-BG"/>
    </w:rPr>
  </w:style>
  <w:style w:type="paragraph" w:customStyle="1" w:styleId="Style1">
    <w:name w:val="Style1"/>
    <w:basedOn w:val="Normal"/>
    <w:link w:val="Style1Char"/>
    <w:qFormat/>
    <w:rsid w:val="001F7D05"/>
    <w:pPr>
      <w:widowControl w:val="0"/>
      <w:numPr>
        <w:numId w:val="5"/>
      </w:numPr>
      <w:autoSpaceDE w:val="0"/>
      <w:autoSpaceDN w:val="0"/>
      <w:adjustRightInd w:val="0"/>
      <w:spacing w:before="120" w:after="120" w:line="276" w:lineRule="auto"/>
      <w:jc w:val="both"/>
    </w:pPr>
    <w:rPr>
      <w:color w:val="000000"/>
    </w:rPr>
  </w:style>
  <w:style w:type="character" w:customStyle="1" w:styleId="Style1Char">
    <w:name w:val="Style1 Char"/>
    <w:link w:val="Style1"/>
    <w:rsid w:val="001F7D05"/>
    <w:rPr>
      <w:rFonts w:ascii="Times New Roman" w:eastAsia="Times New Roman" w:hAnsi="Times New Roman" w:cs="Times New Roman"/>
      <w:color w:val="000000"/>
      <w:sz w:val="24"/>
      <w:szCs w:val="24"/>
      <w:lang w:val="bg-BG"/>
    </w:rPr>
  </w:style>
  <w:style w:type="character" w:customStyle="1" w:styleId="FontStyle136">
    <w:name w:val="Font Style136"/>
    <w:rsid w:val="001F7D05"/>
    <w:rPr>
      <w:rFonts w:ascii="Times New Roman" w:hAnsi="Times New Roman" w:cs="Times New Roman"/>
      <w:b/>
      <w:bCs/>
      <w:i/>
      <w:iCs/>
      <w:sz w:val="20"/>
      <w:szCs w:val="20"/>
    </w:rPr>
  </w:style>
  <w:style w:type="paragraph" w:customStyle="1" w:styleId="1TEKST">
    <w:name w:val="1 TEKST"/>
    <w:basedOn w:val="Normal"/>
    <w:link w:val="1TEKSTChar"/>
    <w:qFormat/>
    <w:rsid w:val="001F7D05"/>
    <w:pPr>
      <w:widowControl w:val="0"/>
      <w:shd w:val="clear" w:color="auto" w:fill="FFFFFF"/>
      <w:autoSpaceDE w:val="0"/>
      <w:autoSpaceDN w:val="0"/>
      <w:adjustRightInd w:val="0"/>
      <w:spacing w:before="120" w:line="276" w:lineRule="auto"/>
      <w:jc w:val="both"/>
    </w:pPr>
    <w:rPr>
      <w:rFonts w:ascii="Arial Narrow" w:hAnsi="Arial Narrow"/>
      <w:color w:val="000000"/>
      <w:sz w:val="22"/>
      <w:szCs w:val="22"/>
      <w:lang w:val="ru-RU"/>
    </w:rPr>
  </w:style>
  <w:style w:type="character" w:customStyle="1" w:styleId="1TEKSTChar">
    <w:name w:val="1 TEKST Char"/>
    <w:link w:val="1TEKST"/>
    <w:rsid w:val="001F7D05"/>
    <w:rPr>
      <w:rFonts w:ascii="Arial Narrow" w:eastAsia="Times New Roman" w:hAnsi="Arial Narrow" w:cs="Times New Roman"/>
      <w:color w:val="000000"/>
      <w:shd w:val="clear" w:color="auto" w:fill="FFFFFF"/>
      <w:lang w:val="ru-RU"/>
    </w:rPr>
  </w:style>
  <w:style w:type="character" w:customStyle="1" w:styleId="FontStyle137">
    <w:name w:val="Font Style137"/>
    <w:rsid w:val="001F7D05"/>
    <w:rPr>
      <w:rFonts w:ascii="Times New Roman" w:hAnsi="Times New Roman" w:cs="Times New Roman"/>
      <w:sz w:val="20"/>
      <w:szCs w:val="20"/>
    </w:rPr>
  </w:style>
  <w:style w:type="paragraph" w:customStyle="1" w:styleId="1">
    <w:name w:val="1"/>
    <w:basedOn w:val="Normal"/>
    <w:qFormat/>
    <w:rsid w:val="001F7D05"/>
    <w:pPr>
      <w:numPr>
        <w:numId w:val="6"/>
      </w:numPr>
      <w:spacing w:line="360" w:lineRule="auto"/>
      <w:ind w:left="426"/>
      <w:outlineLvl w:val="0"/>
    </w:pPr>
    <w:rPr>
      <w:rFonts w:ascii="Arial Narrow" w:hAnsi="Arial Narrow"/>
      <w:b/>
      <w:caps/>
      <w:color w:val="000000"/>
      <w:sz w:val="22"/>
      <w:szCs w:val="22"/>
      <w:u w:val="single"/>
    </w:rPr>
  </w:style>
  <w:style w:type="paragraph" w:customStyle="1" w:styleId="11">
    <w:name w:val="11"/>
    <w:basedOn w:val="1"/>
    <w:rsid w:val="001F7D05"/>
    <w:pPr>
      <w:numPr>
        <w:ilvl w:val="1"/>
      </w:numPr>
      <w:tabs>
        <w:tab w:val="left" w:pos="1560"/>
      </w:tabs>
    </w:pPr>
    <w:rPr>
      <w:b w:val="0"/>
      <w:caps w:val="0"/>
      <w:u w:val="none"/>
    </w:rPr>
  </w:style>
  <w:style w:type="paragraph" w:customStyle="1" w:styleId="13">
    <w:name w:val="13"/>
    <w:basedOn w:val="Normal"/>
    <w:qFormat/>
    <w:rsid w:val="001F7D05"/>
    <w:pPr>
      <w:numPr>
        <w:ilvl w:val="2"/>
        <w:numId w:val="6"/>
      </w:numPr>
      <w:tabs>
        <w:tab w:val="left" w:pos="2268"/>
      </w:tabs>
      <w:spacing w:line="360" w:lineRule="auto"/>
      <w:outlineLvl w:val="0"/>
    </w:pPr>
    <w:rPr>
      <w:b/>
      <w:i/>
      <w:color w:val="000000"/>
    </w:rPr>
  </w:style>
  <w:style w:type="paragraph" w:customStyle="1" w:styleId="110">
    <w:name w:val="11подт"/>
    <w:basedOn w:val="11"/>
    <w:link w:val="11Char"/>
    <w:qFormat/>
    <w:rsid w:val="001F7D05"/>
    <w:pPr>
      <w:tabs>
        <w:tab w:val="clear" w:pos="1560"/>
        <w:tab w:val="left" w:pos="567"/>
      </w:tabs>
      <w:spacing w:before="240"/>
      <w:ind w:left="578" w:hanging="578"/>
    </w:pPr>
    <w:rPr>
      <w:b/>
      <w:lang w:val="en-US"/>
    </w:rPr>
  </w:style>
  <w:style w:type="character" w:customStyle="1" w:styleId="11Char">
    <w:name w:val="11подт Char"/>
    <w:link w:val="110"/>
    <w:rsid w:val="001F7D05"/>
    <w:rPr>
      <w:rFonts w:ascii="Arial Narrow" w:eastAsia="Times New Roman" w:hAnsi="Arial Narrow" w:cs="Times New Roman"/>
      <w:b/>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05"/>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F7D05"/>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F7D05"/>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F7D05"/>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F7D05"/>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F7D05"/>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F7D05"/>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F7D05"/>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F7D05"/>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F7D05"/>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D05"/>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F7D05"/>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F7D05"/>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F7D05"/>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F7D05"/>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F7D05"/>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F7D05"/>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F7D05"/>
    <w:rPr>
      <w:rFonts w:ascii="Garamond" w:eastAsia="Times New Roman" w:hAnsi="Garamond" w:cs="Arial"/>
      <w:b/>
      <w:bCs/>
      <w:color w:val="000000"/>
      <w:szCs w:val="19"/>
    </w:rPr>
  </w:style>
  <w:style w:type="character" w:customStyle="1" w:styleId="Heading9Char">
    <w:name w:val="Heading 9 Char"/>
    <w:basedOn w:val="DefaultParagraphFont"/>
    <w:link w:val="Heading9"/>
    <w:rsid w:val="001F7D05"/>
    <w:rPr>
      <w:rFonts w:ascii="Garamond" w:eastAsia="Times New Roman" w:hAnsi="Garamond" w:cs="Times New Roman"/>
      <w:b/>
      <w:bCs/>
      <w:sz w:val="24"/>
      <w:szCs w:val="19"/>
    </w:rPr>
  </w:style>
  <w:style w:type="paragraph" w:styleId="Header">
    <w:name w:val="header"/>
    <w:basedOn w:val="Normal"/>
    <w:link w:val="HeaderChar"/>
    <w:rsid w:val="001F7D05"/>
    <w:pPr>
      <w:tabs>
        <w:tab w:val="center" w:pos="4153"/>
        <w:tab w:val="right" w:pos="8306"/>
      </w:tabs>
    </w:pPr>
  </w:style>
  <w:style w:type="character" w:customStyle="1" w:styleId="HeaderChar">
    <w:name w:val="Header Char"/>
    <w:basedOn w:val="DefaultParagraphFont"/>
    <w:link w:val="Header"/>
    <w:rsid w:val="001F7D05"/>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1F7D05"/>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1F7D05"/>
    <w:rPr>
      <w:rFonts w:ascii="Garamond" w:eastAsia="Times New Roman" w:hAnsi="Garamond" w:cs="Times New Roman"/>
      <w:color w:val="000000"/>
      <w:sz w:val="24"/>
    </w:rPr>
  </w:style>
  <w:style w:type="paragraph" w:styleId="BodyText2">
    <w:name w:val="Body Text 2"/>
    <w:basedOn w:val="Normal"/>
    <w:link w:val="BodyText2Char"/>
    <w:rsid w:val="001F7D05"/>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1F7D05"/>
    <w:rPr>
      <w:rFonts w:ascii="Garamond" w:eastAsia="Times New Roman" w:hAnsi="Garamond" w:cs="Times New Roman"/>
      <w:b/>
      <w:sz w:val="24"/>
      <w:szCs w:val="20"/>
    </w:rPr>
  </w:style>
  <w:style w:type="paragraph" w:styleId="BodyTextIndent2">
    <w:name w:val="Body Text Indent 2"/>
    <w:basedOn w:val="Normal"/>
    <w:link w:val="BodyTextIndent2Char"/>
    <w:rsid w:val="001F7D05"/>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1F7D05"/>
    <w:rPr>
      <w:rFonts w:ascii="Garamond" w:eastAsia="MS Mincho" w:hAnsi="Garamond" w:cs="Times New Roman"/>
      <w:sz w:val="24"/>
      <w:szCs w:val="24"/>
      <w:lang w:val="bg-BG"/>
    </w:rPr>
  </w:style>
  <w:style w:type="paragraph" w:customStyle="1" w:styleId="firstline">
    <w:name w:val="firstline"/>
    <w:basedOn w:val="Normal"/>
    <w:rsid w:val="001F7D05"/>
    <w:pPr>
      <w:spacing w:line="240" w:lineRule="atLeast"/>
      <w:ind w:firstLine="640"/>
      <w:jc w:val="both"/>
    </w:pPr>
    <w:rPr>
      <w:color w:val="000000"/>
      <w:lang w:eastAsia="bg-BG"/>
    </w:rPr>
  </w:style>
  <w:style w:type="paragraph" w:customStyle="1" w:styleId="Style1">
    <w:name w:val="Style1"/>
    <w:basedOn w:val="Normal"/>
    <w:link w:val="Style1Char"/>
    <w:qFormat/>
    <w:rsid w:val="001F7D05"/>
    <w:pPr>
      <w:widowControl w:val="0"/>
      <w:numPr>
        <w:numId w:val="5"/>
      </w:numPr>
      <w:autoSpaceDE w:val="0"/>
      <w:autoSpaceDN w:val="0"/>
      <w:adjustRightInd w:val="0"/>
      <w:spacing w:before="120" w:after="120" w:line="276" w:lineRule="auto"/>
      <w:jc w:val="both"/>
    </w:pPr>
    <w:rPr>
      <w:color w:val="000000"/>
    </w:rPr>
  </w:style>
  <w:style w:type="character" w:customStyle="1" w:styleId="Style1Char">
    <w:name w:val="Style1 Char"/>
    <w:link w:val="Style1"/>
    <w:rsid w:val="001F7D05"/>
    <w:rPr>
      <w:rFonts w:ascii="Times New Roman" w:eastAsia="Times New Roman" w:hAnsi="Times New Roman" w:cs="Times New Roman"/>
      <w:color w:val="000000"/>
      <w:sz w:val="24"/>
      <w:szCs w:val="24"/>
      <w:lang w:val="bg-BG"/>
    </w:rPr>
  </w:style>
  <w:style w:type="character" w:customStyle="1" w:styleId="FontStyle136">
    <w:name w:val="Font Style136"/>
    <w:rsid w:val="001F7D05"/>
    <w:rPr>
      <w:rFonts w:ascii="Times New Roman" w:hAnsi="Times New Roman" w:cs="Times New Roman"/>
      <w:b/>
      <w:bCs/>
      <w:i/>
      <w:iCs/>
      <w:sz w:val="20"/>
      <w:szCs w:val="20"/>
    </w:rPr>
  </w:style>
  <w:style w:type="paragraph" w:customStyle="1" w:styleId="1TEKST">
    <w:name w:val="1 TEKST"/>
    <w:basedOn w:val="Normal"/>
    <w:link w:val="1TEKSTChar"/>
    <w:qFormat/>
    <w:rsid w:val="001F7D05"/>
    <w:pPr>
      <w:widowControl w:val="0"/>
      <w:shd w:val="clear" w:color="auto" w:fill="FFFFFF"/>
      <w:autoSpaceDE w:val="0"/>
      <w:autoSpaceDN w:val="0"/>
      <w:adjustRightInd w:val="0"/>
      <w:spacing w:before="120" w:line="276" w:lineRule="auto"/>
      <w:jc w:val="both"/>
    </w:pPr>
    <w:rPr>
      <w:rFonts w:ascii="Arial Narrow" w:hAnsi="Arial Narrow"/>
      <w:color w:val="000000"/>
      <w:sz w:val="22"/>
      <w:szCs w:val="22"/>
      <w:lang w:val="ru-RU"/>
    </w:rPr>
  </w:style>
  <w:style w:type="character" w:customStyle="1" w:styleId="1TEKSTChar">
    <w:name w:val="1 TEKST Char"/>
    <w:link w:val="1TEKST"/>
    <w:rsid w:val="001F7D05"/>
    <w:rPr>
      <w:rFonts w:ascii="Arial Narrow" w:eastAsia="Times New Roman" w:hAnsi="Arial Narrow" w:cs="Times New Roman"/>
      <w:color w:val="000000"/>
      <w:shd w:val="clear" w:color="auto" w:fill="FFFFFF"/>
      <w:lang w:val="ru-RU"/>
    </w:rPr>
  </w:style>
  <w:style w:type="character" w:customStyle="1" w:styleId="FontStyle137">
    <w:name w:val="Font Style137"/>
    <w:rsid w:val="001F7D05"/>
    <w:rPr>
      <w:rFonts w:ascii="Times New Roman" w:hAnsi="Times New Roman" w:cs="Times New Roman"/>
      <w:sz w:val="20"/>
      <w:szCs w:val="20"/>
    </w:rPr>
  </w:style>
  <w:style w:type="paragraph" w:customStyle="1" w:styleId="1">
    <w:name w:val="1"/>
    <w:basedOn w:val="Normal"/>
    <w:qFormat/>
    <w:rsid w:val="001F7D05"/>
    <w:pPr>
      <w:numPr>
        <w:numId w:val="6"/>
      </w:numPr>
      <w:spacing w:line="360" w:lineRule="auto"/>
      <w:ind w:left="426"/>
      <w:outlineLvl w:val="0"/>
    </w:pPr>
    <w:rPr>
      <w:rFonts w:ascii="Arial Narrow" w:hAnsi="Arial Narrow"/>
      <w:b/>
      <w:caps/>
      <w:color w:val="000000"/>
      <w:sz w:val="22"/>
      <w:szCs w:val="22"/>
      <w:u w:val="single"/>
    </w:rPr>
  </w:style>
  <w:style w:type="paragraph" w:customStyle="1" w:styleId="11">
    <w:name w:val="11"/>
    <w:basedOn w:val="1"/>
    <w:rsid w:val="001F7D05"/>
    <w:pPr>
      <w:numPr>
        <w:ilvl w:val="1"/>
      </w:numPr>
      <w:tabs>
        <w:tab w:val="left" w:pos="1560"/>
      </w:tabs>
    </w:pPr>
    <w:rPr>
      <w:b w:val="0"/>
      <w:caps w:val="0"/>
      <w:u w:val="none"/>
    </w:rPr>
  </w:style>
  <w:style w:type="paragraph" w:customStyle="1" w:styleId="13">
    <w:name w:val="13"/>
    <w:basedOn w:val="Normal"/>
    <w:qFormat/>
    <w:rsid w:val="001F7D05"/>
    <w:pPr>
      <w:numPr>
        <w:ilvl w:val="2"/>
        <w:numId w:val="6"/>
      </w:numPr>
      <w:tabs>
        <w:tab w:val="left" w:pos="2268"/>
      </w:tabs>
      <w:spacing w:line="360" w:lineRule="auto"/>
      <w:outlineLvl w:val="0"/>
    </w:pPr>
    <w:rPr>
      <w:b/>
      <w:i/>
      <w:color w:val="000000"/>
    </w:rPr>
  </w:style>
  <w:style w:type="paragraph" w:customStyle="1" w:styleId="110">
    <w:name w:val="11подт"/>
    <w:basedOn w:val="11"/>
    <w:link w:val="11Char"/>
    <w:qFormat/>
    <w:rsid w:val="001F7D05"/>
    <w:pPr>
      <w:tabs>
        <w:tab w:val="clear" w:pos="1560"/>
        <w:tab w:val="left" w:pos="567"/>
      </w:tabs>
      <w:spacing w:before="240"/>
      <w:ind w:left="578" w:hanging="578"/>
    </w:pPr>
    <w:rPr>
      <w:b/>
      <w:lang w:val="en-US"/>
    </w:rPr>
  </w:style>
  <w:style w:type="character" w:customStyle="1" w:styleId="11Char">
    <w:name w:val="11подт Char"/>
    <w:link w:val="110"/>
    <w:rsid w:val="001F7D05"/>
    <w:rPr>
      <w:rFonts w:ascii="Arial Narrow" w:eastAsia="Times New Roman" w:hAnsi="Arial Narrow"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5621</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2015-03-13T10:02:00Z</dcterms:created>
  <dcterms:modified xsi:type="dcterms:W3CDTF">2015-03-13T10:08:00Z</dcterms:modified>
</cp:coreProperties>
</file>