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3ED3" w:rsidRPr="00AF5E71" w:rsidRDefault="00423ED3" w:rsidP="00423ED3">
      <w:pPr>
        <w:pStyle w:val="Heading1"/>
        <w:numPr>
          <w:ilvl w:val="0"/>
          <w:numId w:val="0"/>
        </w:numPr>
        <w:jc w:val="center"/>
        <w:rPr>
          <w:rFonts w:ascii="Arial Narrow" w:hAnsi="Arial Narrow"/>
          <w:color w:val="auto"/>
          <w:sz w:val="28"/>
          <w:szCs w:val="28"/>
          <w:lang w:val="bg-BG"/>
        </w:rPr>
      </w:pPr>
      <w:r w:rsidRPr="00AF5E71">
        <w:rPr>
          <w:rFonts w:ascii="Arial Narrow" w:hAnsi="Arial Narrow"/>
          <w:color w:val="auto"/>
          <w:sz w:val="28"/>
          <w:szCs w:val="28"/>
          <w:lang w:val="bg-BG"/>
        </w:rPr>
        <w:t>СЧЕТОВОДНА ПОЛИТИКА</w:t>
      </w:r>
    </w:p>
    <w:p w:rsidR="00423ED3" w:rsidRPr="00AF5E71" w:rsidRDefault="00423ED3" w:rsidP="00423ED3">
      <w:pPr>
        <w:pStyle w:val="Heading1"/>
        <w:numPr>
          <w:ilvl w:val="0"/>
          <w:numId w:val="0"/>
        </w:numPr>
        <w:jc w:val="center"/>
        <w:rPr>
          <w:rFonts w:ascii="Arial Narrow" w:hAnsi="Arial Narrow"/>
          <w:color w:val="auto"/>
          <w:sz w:val="28"/>
          <w:szCs w:val="28"/>
          <w:lang w:val="bg-BG"/>
        </w:rPr>
      </w:pPr>
      <w:r w:rsidRPr="00AF5E71">
        <w:rPr>
          <w:rFonts w:ascii="Arial Narrow" w:hAnsi="Arial Narrow"/>
          <w:color w:val="auto"/>
          <w:sz w:val="28"/>
          <w:szCs w:val="28"/>
          <w:lang w:val="bg-BG"/>
        </w:rPr>
        <w:t>НА „ИНВЕСТМЪНТ ПРОПЪРТИС” АДСИЦ</w:t>
      </w:r>
    </w:p>
    <w:p w:rsidR="00423ED3" w:rsidRDefault="00423ED3" w:rsidP="00423ED3"/>
    <w:p w:rsidR="00423ED3" w:rsidRDefault="00423ED3" w:rsidP="00423ED3"/>
    <w:p w:rsidR="00423ED3" w:rsidRDefault="00423ED3" w:rsidP="00423ED3"/>
    <w:p w:rsidR="00CB16FF" w:rsidRDefault="00CB16FF">
      <w:pPr>
        <w:rPr>
          <w:lang w:val="en-US"/>
        </w:rPr>
      </w:pPr>
    </w:p>
    <w:p w:rsidR="00423ED3" w:rsidRPr="0017792B" w:rsidRDefault="00423ED3" w:rsidP="00423ED3">
      <w:pPr>
        <w:keepNext/>
        <w:numPr>
          <w:ilvl w:val="0"/>
          <w:numId w:val="1"/>
        </w:numPr>
        <w:autoSpaceDE w:val="0"/>
        <w:autoSpaceDN w:val="0"/>
        <w:adjustRightInd w:val="0"/>
        <w:outlineLvl w:val="0"/>
        <w:rPr>
          <w:rFonts w:ascii="Arial Narrow" w:hAnsi="Arial Narrow"/>
          <w:b/>
          <w:bCs/>
          <w:szCs w:val="40"/>
        </w:rPr>
      </w:pPr>
      <w:r w:rsidRPr="0017792B">
        <w:rPr>
          <w:rFonts w:ascii="Arial Narrow" w:hAnsi="Arial Narrow"/>
          <w:b/>
          <w:bCs/>
          <w:szCs w:val="40"/>
        </w:rPr>
        <w:t>Обща информация</w:t>
      </w:r>
    </w:p>
    <w:p w:rsidR="00423ED3" w:rsidRPr="0017792B" w:rsidRDefault="00423ED3" w:rsidP="00423ED3">
      <w:pPr>
        <w:autoSpaceDE w:val="0"/>
        <w:autoSpaceDN w:val="0"/>
        <w:adjustRightInd w:val="0"/>
        <w:rPr>
          <w:rFonts w:ascii="Arial Narrow" w:hAnsi="Arial Narrow"/>
          <w:szCs w:val="22"/>
        </w:rPr>
      </w:pPr>
    </w:p>
    <w:p w:rsidR="00423ED3" w:rsidRPr="0017792B" w:rsidRDefault="00423ED3" w:rsidP="00423ED3">
      <w:pPr>
        <w:ind w:firstLine="567"/>
        <w:jc w:val="both"/>
        <w:rPr>
          <w:rFonts w:ascii="Arial Narrow" w:hAnsi="Arial Narrow"/>
        </w:rPr>
      </w:pPr>
      <w:r w:rsidRPr="0017792B">
        <w:rPr>
          <w:rFonts w:ascii="Arial Narrow" w:hAnsi="Arial Narrow"/>
        </w:rPr>
        <w:t xml:space="preserve"> </w:t>
      </w:r>
      <w:r w:rsidRPr="0017792B">
        <w:rPr>
          <w:rFonts w:ascii="Arial Narrow" w:hAnsi="Arial Narrow"/>
          <w:b/>
          <w:color w:val="000000"/>
        </w:rPr>
        <w:t>„ИНВЕСТМЪНТ ПРОПЪРТИС” АДСИЦ</w:t>
      </w:r>
      <w:r w:rsidRPr="0017792B">
        <w:rPr>
          <w:rFonts w:ascii="Arial Narrow" w:hAnsi="Arial Narrow"/>
          <w:color w:val="000000"/>
        </w:rPr>
        <w:t xml:space="preserve"> е акционерно дружество със специална инвестиционна цел за </w:t>
      </w:r>
      <w:proofErr w:type="spellStart"/>
      <w:r w:rsidRPr="0017792B">
        <w:rPr>
          <w:rFonts w:ascii="Arial Narrow" w:hAnsi="Arial Narrow"/>
          <w:color w:val="000000"/>
        </w:rPr>
        <w:t>секюритизация</w:t>
      </w:r>
      <w:proofErr w:type="spellEnd"/>
      <w:r w:rsidRPr="0017792B">
        <w:rPr>
          <w:rFonts w:ascii="Arial Narrow" w:hAnsi="Arial Narrow"/>
          <w:color w:val="000000"/>
        </w:rPr>
        <w:t xml:space="preserve"> на недвижими имоти, по смисъла на Закона за дружествата със специална инвестиционна цел</w:t>
      </w:r>
      <w:r w:rsidRPr="0017792B">
        <w:rPr>
          <w:rFonts w:ascii="Arial Narrow" w:hAnsi="Arial Narrow"/>
          <w:color w:val="000000"/>
          <w:szCs w:val="22"/>
        </w:rPr>
        <w:t>.</w:t>
      </w:r>
      <w:r w:rsidRPr="0017792B">
        <w:rPr>
          <w:rFonts w:ascii="Arial Narrow" w:hAnsi="Arial Narrow"/>
        </w:rPr>
        <w:t xml:space="preserve"> Предметът на дейност на Дружеството е набиране на средства чрез издаване на ценни книжа, покупка на недвижими имоти и вещни права върху недвижими имоти, извършване на строежи и подобрения , с цел предоставянето им за управление, отдаване под наем, лизинг, аренда и продажбата им.</w:t>
      </w:r>
    </w:p>
    <w:p w:rsidR="00423ED3" w:rsidRPr="0017792B" w:rsidRDefault="00423ED3" w:rsidP="00423ED3">
      <w:pPr>
        <w:jc w:val="both"/>
        <w:rPr>
          <w:rFonts w:ascii="Arial Narrow" w:hAnsi="Arial Narrow"/>
          <w:szCs w:val="22"/>
        </w:rPr>
      </w:pPr>
      <w:r w:rsidRPr="0017792B">
        <w:rPr>
          <w:lang w:val="ru-RU"/>
        </w:rPr>
        <w:t xml:space="preserve">         </w:t>
      </w:r>
    </w:p>
    <w:p w:rsidR="00423ED3" w:rsidRPr="0017792B" w:rsidRDefault="00423ED3" w:rsidP="00423ED3">
      <w:pPr>
        <w:autoSpaceDE w:val="0"/>
        <w:autoSpaceDN w:val="0"/>
        <w:adjustRightInd w:val="0"/>
        <w:jc w:val="both"/>
        <w:rPr>
          <w:rFonts w:ascii="Arial Narrow" w:hAnsi="Arial Narrow"/>
          <w:szCs w:val="22"/>
        </w:rPr>
      </w:pPr>
      <w:r w:rsidRPr="0017792B">
        <w:rPr>
          <w:rFonts w:ascii="Arial Narrow" w:hAnsi="Arial Narrow"/>
          <w:szCs w:val="22"/>
        </w:rPr>
        <w:t xml:space="preserve">Дружеството е регистрирано като </w:t>
      </w:r>
      <w:r w:rsidRPr="0017792B">
        <w:rPr>
          <w:rFonts w:ascii="Arial Narrow" w:hAnsi="Arial Narrow"/>
          <w:color w:val="000000"/>
          <w:szCs w:val="22"/>
        </w:rPr>
        <w:t>акционерно</w:t>
      </w:r>
      <w:r w:rsidRPr="0017792B">
        <w:rPr>
          <w:rFonts w:ascii="Arial Narrow" w:hAnsi="Arial Narrow"/>
          <w:szCs w:val="22"/>
        </w:rPr>
        <w:t xml:space="preserve"> дружество със специална инвестиционна цел                                                                                                                                                                                                                                                                                                                                                                                                                                                                                                                                                                                                                                                                                                                                                                                                                                                                                                                                                                                                                                                                                                                                                                                                                                                                                                                                                                                                                                                                                                                                                                                                                                                                                                                                                                                                                                                                                                                                                                                                                                                                                                                                                                                                                                                                                                                                                                                                                                                                                                                                                                                                                                                                                                                                                                                                                                                                                                                              по фирмено дело № 11419/31.10.2003 г. на Софийски градски съд. Седалището и адресът на управление на Дружеството е гр.София, кв. „Витоша”, ВЕЦ-Симеоново 999.</w:t>
      </w:r>
    </w:p>
    <w:p w:rsidR="00423ED3" w:rsidRPr="0017792B" w:rsidRDefault="00423ED3" w:rsidP="00423ED3">
      <w:pPr>
        <w:autoSpaceDE w:val="0"/>
        <w:autoSpaceDN w:val="0"/>
        <w:adjustRightInd w:val="0"/>
        <w:jc w:val="both"/>
        <w:rPr>
          <w:rFonts w:ascii="Arial Narrow" w:hAnsi="Arial Narrow"/>
          <w:szCs w:val="22"/>
        </w:rPr>
      </w:pPr>
      <w:r w:rsidRPr="0017792B">
        <w:rPr>
          <w:rFonts w:ascii="Arial Narrow" w:hAnsi="Arial Narrow"/>
          <w:szCs w:val="22"/>
        </w:rPr>
        <w:t>Акциите на Дружеството са регистрирани на Българската фондова борса.</w:t>
      </w:r>
    </w:p>
    <w:p w:rsidR="00423ED3" w:rsidRPr="0017792B" w:rsidRDefault="00423ED3" w:rsidP="00423ED3">
      <w:pPr>
        <w:jc w:val="both"/>
        <w:rPr>
          <w:rFonts w:ascii="Arial Narrow" w:hAnsi="Arial Narrow"/>
          <w:b/>
          <w:bCs/>
        </w:rPr>
      </w:pPr>
    </w:p>
    <w:p w:rsidR="00423ED3" w:rsidRPr="0017792B" w:rsidRDefault="00423ED3" w:rsidP="00423ED3">
      <w:pPr>
        <w:jc w:val="both"/>
        <w:rPr>
          <w:rFonts w:ascii="Arial Narrow" w:hAnsi="Arial Narrow"/>
        </w:rPr>
      </w:pPr>
      <w:r w:rsidRPr="0017792B">
        <w:rPr>
          <w:rFonts w:ascii="Arial Narrow" w:hAnsi="Arial Narrow"/>
          <w:bCs/>
          <w:color w:val="000000"/>
        </w:rPr>
        <w:t>Дружеството има едностепенна форма на управление.</w:t>
      </w:r>
      <w:r w:rsidRPr="0017792B">
        <w:rPr>
          <w:rFonts w:ascii="Arial Narrow" w:hAnsi="Arial Narrow"/>
        </w:rPr>
        <w:t xml:space="preserve"> Съветът на </w:t>
      </w:r>
      <w:r w:rsidRPr="0017792B">
        <w:rPr>
          <w:rFonts w:ascii="Arial Narrow" w:hAnsi="Arial Narrow"/>
          <w:color w:val="000000"/>
        </w:rPr>
        <w:t>директорите  е</w:t>
      </w:r>
      <w:r w:rsidRPr="0017792B">
        <w:rPr>
          <w:rFonts w:ascii="Arial Narrow" w:hAnsi="Arial Narrow"/>
        </w:rPr>
        <w:t xml:space="preserve"> в състав, както следва: </w:t>
      </w:r>
    </w:p>
    <w:p w:rsidR="00423ED3" w:rsidRDefault="00423ED3" w:rsidP="00423ED3">
      <w:pPr>
        <w:jc w:val="both"/>
        <w:rPr>
          <w:rFonts w:ascii="Arial Narrow" w:hAnsi="Arial Narrow"/>
          <w:bCs/>
          <w:color w:val="000000"/>
          <w:lang w:val="ru-RU"/>
        </w:rPr>
      </w:pPr>
    </w:p>
    <w:p w:rsidR="00423ED3" w:rsidRPr="00EC4BE6" w:rsidRDefault="00423ED3" w:rsidP="00423ED3">
      <w:pPr>
        <w:ind w:firstLine="567"/>
        <w:jc w:val="both"/>
        <w:rPr>
          <w:rFonts w:ascii="Arial Narrow" w:hAnsi="Arial Narrow"/>
        </w:rPr>
      </w:pPr>
      <w:r>
        <w:rPr>
          <w:rFonts w:ascii="Arial Narrow" w:hAnsi="Arial Narrow"/>
        </w:rPr>
        <w:t xml:space="preserve">1.Виктор Ангелов </w:t>
      </w:r>
      <w:proofErr w:type="spellStart"/>
      <w:r>
        <w:rPr>
          <w:rFonts w:ascii="Arial Narrow" w:hAnsi="Arial Narrow"/>
        </w:rPr>
        <w:t>Серов</w:t>
      </w:r>
      <w:proofErr w:type="spellEnd"/>
      <w:r>
        <w:rPr>
          <w:rFonts w:ascii="Arial Narrow" w:hAnsi="Arial Narrow"/>
        </w:rPr>
        <w:t xml:space="preserve"> – Председател на СД</w:t>
      </w:r>
    </w:p>
    <w:p w:rsidR="00423ED3" w:rsidRPr="00BD3627" w:rsidRDefault="00423ED3" w:rsidP="00423ED3">
      <w:pPr>
        <w:ind w:firstLine="567"/>
        <w:jc w:val="both"/>
        <w:rPr>
          <w:rFonts w:ascii="Arial Narrow" w:hAnsi="Arial Narrow"/>
        </w:rPr>
      </w:pPr>
      <w:r w:rsidRPr="00BD3627">
        <w:rPr>
          <w:rFonts w:ascii="Arial Narrow" w:hAnsi="Arial Narrow"/>
        </w:rPr>
        <w:t xml:space="preserve">2. „Ви – </w:t>
      </w:r>
      <w:proofErr w:type="spellStart"/>
      <w:r w:rsidRPr="00BD3627">
        <w:rPr>
          <w:rFonts w:ascii="Arial Narrow" w:hAnsi="Arial Narrow"/>
        </w:rPr>
        <w:t>Веста</w:t>
      </w:r>
      <w:proofErr w:type="spellEnd"/>
      <w:r w:rsidRPr="00BD3627">
        <w:rPr>
          <w:rFonts w:ascii="Arial Narrow" w:hAnsi="Arial Narrow"/>
        </w:rPr>
        <w:t xml:space="preserve">  Холдинг” ЕАД, ЕИК 831914521, гр. София, вписано по ф.д. № 7458 по описа на Софийски градски съд за 1990 г.</w:t>
      </w:r>
      <w:r w:rsidRPr="00BD3627">
        <w:rPr>
          <w:rFonts w:ascii="Arial Narrow" w:hAnsi="Arial Narrow"/>
          <w:snapToGrid w:val="0"/>
        </w:rPr>
        <w:t xml:space="preserve">, със седалище и адрес на управление: София, </w:t>
      </w:r>
      <w:r w:rsidRPr="00BD3627">
        <w:rPr>
          <w:rFonts w:ascii="Arial Narrow" w:hAnsi="Arial Narrow"/>
        </w:rPr>
        <w:t>кв. „Лозенец”, р-н „Витоша – ВЕЦ Симеоново” 999</w:t>
      </w:r>
      <w:r w:rsidRPr="00BD3627">
        <w:rPr>
          <w:rFonts w:ascii="Arial Narrow" w:hAnsi="Arial Narrow"/>
          <w:snapToGrid w:val="0"/>
        </w:rPr>
        <w:t xml:space="preserve">, представлявано от Виктор Ангелов </w:t>
      </w:r>
      <w:proofErr w:type="spellStart"/>
      <w:r w:rsidRPr="00BD3627">
        <w:rPr>
          <w:rFonts w:ascii="Arial Narrow" w:hAnsi="Arial Narrow"/>
          <w:snapToGrid w:val="0"/>
        </w:rPr>
        <w:t>Серов</w:t>
      </w:r>
      <w:proofErr w:type="spellEnd"/>
    </w:p>
    <w:p w:rsidR="00423ED3" w:rsidRPr="0077313E" w:rsidRDefault="00423ED3" w:rsidP="00423ED3">
      <w:pPr>
        <w:jc w:val="both"/>
        <w:rPr>
          <w:rFonts w:ascii="Arial Narrow" w:hAnsi="Arial Narrow" w:cs="Arial"/>
        </w:rPr>
      </w:pPr>
      <w:r>
        <w:rPr>
          <w:rFonts w:ascii="Arial Narrow" w:hAnsi="Arial Narrow" w:cs="Arial"/>
        </w:rPr>
        <w:t xml:space="preserve">        </w:t>
      </w:r>
      <w:r w:rsidRPr="004A0DB7">
        <w:rPr>
          <w:rFonts w:ascii="Arial Narrow" w:hAnsi="Arial Narrow" w:cs="Arial"/>
        </w:rPr>
        <w:t xml:space="preserve"> </w:t>
      </w:r>
      <w:r>
        <w:rPr>
          <w:rFonts w:ascii="Arial Narrow" w:hAnsi="Arial Narrow" w:cs="Arial"/>
        </w:rPr>
        <w:t>3.Тодор Банчев Тодоров</w:t>
      </w:r>
      <w:r w:rsidRPr="004A0DB7">
        <w:rPr>
          <w:rFonts w:ascii="Arial Narrow" w:hAnsi="Arial Narrow" w:cs="Arial"/>
        </w:rPr>
        <w:t xml:space="preserve"> - физическо лице-представител</w:t>
      </w:r>
      <w:r w:rsidRPr="004A0DB7">
        <w:rPr>
          <w:rFonts w:ascii="Arial Narrow" w:hAnsi="Arial Narrow" w:cs="Arial"/>
          <w:b/>
        </w:rPr>
        <w:t xml:space="preserve"> </w:t>
      </w:r>
      <w:r w:rsidRPr="004A0DB7">
        <w:rPr>
          <w:rFonts w:ascii="Arial Narrow" w:hAnsi="Arial Narrow" w:cs="Arial"/>
        </w:rPr>
        <w:t>в Съвета на директорите на „Инве</w:t>
      </w:r>
      <w:r>
        <w:rPr>
          <w:rFonts w:ascii="Arial Narrow" w:hAnsi="Arial Narrow" w:cs="Arial"/>
        </w:rPr>
        <w:t xml:space="preserve">стмънт </w:t>
      </w:r>
      <w:proofErr w:type="spellStart"/>
      <w:r>
        <w:rPr>
          <w:rFonts w:ascii="Arial Narrow" w:hAnsi="Arial Narrow" w:cs="Arial"/>
        </w:rPr>
        <w:t>Пропъртис</w:t>
      </w:r>
      <w:proofErr w:type="spellEnd"/>
      <w:r>
        <w:rPr>
          <w:rFonts w:ascii="Arial Narrow" w:hAnsi="Arial Narrow" w:cs="Arial"/>
        </w:rPr>
        <w:t xml:space="preserve"> /</w:t>
      </w:r>
      <w:proofErr w:type="spellStart"/>
      <w:r>
        <w:rPr>
          <w:rFonts w:ascii="Arial Narrow" w:hAnsi="Arial Narrow" w:cs="Arial"/>
        </w:rPr>
        <w:t>Ин-Пропъртис</w:t>
      </w:r>
      <w:proofErr w:type="spellEnd"/>
      <w:r>
        <w:rPr>
          <w:rFonts w:ascii="Arial Narrow" w:hAnsi="Arial Narrow" w:cs="Arial"/>
        </w:rPr>
        <w:t>/</w:t>
      </w:r>
      <w:r w:rsidRPr="004A0DB7">
        <w:rPr>
          <w:rFonts w:ascii="Arial Narrow" w:hAnsi="Arial Narrow" w:cs="Arial"/>
        </w:rPr>
        <w:t>.</w:t>
      </w:r>
    </w:p>
    <w:p w:rsidR="00423ED3" w:rsidRPr="0017792B" w:rsidRDefault="00423ED3" w:rsidP="00423ED3">
      <w:pPr>
        <w:jc w:val="both"/>
        <w:rPr>
          <w:rFonts w:ascii="Arial Narrow" w:hAnsi="Arial Narrow"/>
          <w:bCs/>
          <w:color w:val="000000"/>
          <w:lang w:val="ru-RU"/>
        </w:rPr>
      </w:pPr>
    </w:p>
    <w:p w:rsidR="00423ED3" w:rsidRPr="0017792B" w:rsidRDefault="00423ED3" w:rsidP="00423ED3">
      <w:pPr>
        <w:rPr>
          <w:rFonts w:ascii="Arial Narrow" w:hAnsi="Arial Narrow"/>
        </w:rPr>
      </w:pPr>
    </w:p>
    <w:p w:rsidR="00423ED3" w:rsidRPr="0017792B" w:rsidRDefault="00423ED3" w:rsidP="00423ED3">
      <w:pPr>
        <w:keepNext/>
        <w:numPr>
          <w:ilvl w:val="0"/>
          <w:numId w:val="1"/>
        </w:numPr>
        <w:autoSpaceDE w:val="0"/>
        <w:autoSpaceDN w:val="0"/>
        <w:adjustRightInd w:val="0"/>
        <w:outlineLvl w:val="0"/>
        <w:rPr>
          <w:rFonts w:ascii="Arial Narrow" w:hAnsi="Arial Narrow"/>
          <w:b/>
          <w:bCs/>
          <w:szCs w:val="40"/>
        </w:rPr>
      </w:pPr>
      <w:r w:rsidRPr="0017792B">
        <w:rPr>
          <w:rFonts w:ascii="Arial Narrow" w:hAnsi="Arial Narrow"/>
          <w:b/>
          <w:bCs/>
          <w:szCs w:val="19"/>
        </w:rPr>
        <w:t>Основа за изготвяне на финансовия отчет</w:t>
      </w:r>
    </w:p>
    <w:p w:rsidR="00423ED3" w:rsidRPr="0017792B" w:rsidRDefault="00423ED3" w:rsidP="00423ED3">
      <w:pPr>
        <w:tabs>
          <w:tab w:val="center" w:pos="4153"/>
          <w:tab w:val="right" w:pos="8306"/>
        </w:tabs>
        <w:jc w:val="both"/>
        <w:rPr>
          <w:rFonts w:ascii="Arial Narrow" w:hAnsi="Arial Narrow"/>
          <w:szCs w:val="19"/>
        </w:rPr>
      </w:pPr>
    </w:p>
    <w:p w:rsidR="00423ED3" w:rsidRPr="00DF401E" w:rsidRDefault="00423ED3" w:rsidP="00423ED3">
      <w:pPr>
        <w:widowControl w:val="0"/>
        <w:shd w:val="clear" w:color="auto" w:fill="FFFFFF"/>
        <w:autoSpaceDE w:val="0"/>
        <w:autoSpaceDN w:val="0"/>
        <w:adjustRightInd w:val="0"/>
        <w:spacing w:before="120" w:line="276" w:lineRule="auto"/>
        <w:jc w:val="both"/>
        <w:rPr>
          <w:rFonts w:ascii="Arial Narrow" w:hAnsi="Arial Narrow"/>
          <w:color w:val="000000"/>
          <w:lang w:val="en-US"/>
        </w:rPr>
      </w:pPr>
      <w:r w:rsidRPr="0017792B">
        <w:rPr>
          <w:rFonts w:ascii="Arial Narrow" w:hAnsi="Arial Narrow"/>
          <w:color w:val="000000"/>
          <w:lang w:val="ru-RU"/>
        </w:rPr>
        <w:t>Финансовият отчет на “</w:t>
      </w:r>
      <w:r w:rsidRPr="0017792B">
        <w:rPr>
          <w:rFonts w:ascii="Arial Narrow" w:hAnsi="Arial Narrow"/>
          <w:color w:val="000000"/>
        </w:rPr>
        <w:t xml:space="preserve">Инвестмънт </w:t>
      </w:r>
      <w:proofErr w:type="spellStart"/>
      <w:r w:rsidRPr="0017792B">
        <w:rPr>
          <w:rFonts w:ascii="Arial Narrow" w:hAnsi="Arial Narrow"/>
          <w:color w:val="000000"/>
        </w:rPr>
        <w:t>Пропъртис</w:t>
      </w:r>
      <w:proofErr w:type="spellEnd"/>
      <w:r w:rsidRPr="0017792B">
        <w:rPr>
          <w:rFonts w:ascii="Arial Narrow" w:hAnsi="Arial Narrow"/>
          <w:color w:val="000000"/>
          <w:lang w:val="ru-RU"/>
        </w:rPr>
        <w:t>”АД</w:t>
      </w:r>
      <w:r w:rsidRPr="0017792B">
        <w:rPr>
          <w:rFonts w:ascii="Arial Narrow" w:hAnsi="Arial Narrow"/>
          <w:color w:val="000000"/>
        </w:rPr>
        <w:t>СИЦ</w:t>
      </w:r>
      <w:r w:rsidRPr="0017792B">
        <w:rPr>
          <w:rFonts w:ascii="Arial Narrow" w:hAnsi="Arial Narrow"/>
          <w:color w:val="000000"/>
          <w:lang w:val="ru-RU"/>
        </w:rPr>
        <w:t xml:space="preserve"> е изготвен във всички съществени аспекти, в съответствие с изискванията на Международните стандарти за финансово отчитане (МСФО), които се състоят от: Международни стандарти за финансово отчитане (МСФО) и тълкувания на Комитета за разяснения на МСФО (КРМСФО), одобрени от Съвета по Международни счетоводни стандарти (СМСС), и Международни счетоводни стандарти (МСС) и тълкувания на Постоянния комитет за разяснения (ПКР), одобрени от Комитета за Международни счетоводни стандарти (КМСС</w:t>
      </w:r>
      <w:r>
        <w:rPr>
          <w:rFonts w:ascii="Arial Narrow" w:hAnsi="Arial Narrow"/>
          <w:color w:val="000000"/>
          <w:lang w:val="en-US"/>
        </w:rPr>
        <w:t>).</w:t>
      </w:r>
    </w:p>
    <w:p w:rsidR="00423ED3" w:rsidRPr="0017792B" w:rsidRDefault="00423ED3" w:rsidP="00423ED3">
      <w:pPr>
        <w:widowControl w:val="0"/>
        <w:shd w:val="clear" w:color="auto" w:fill="FFFFFF"/>
        <w:autoSpaceDE w:val="0"/>
        <w:autoSpaceDN w:val="0"/>
        <w:adjustRightInd w:val="0"/>
        <w:spacing w:before="120" w:line="276" w:lineRule="auto"/>
        <w:jc w:val="both"/>
        <w:rPr>
          <w:rFonts w:ascii="Arial Narrow" w:hAnsi="Arial Narrow"/>
          <w:color w:val="000000"/>
          <w:lang w:val="ru-RU"/>
        </w:rPr>
      </w:pPr>
      <w:r w:rsidRPr="0017792B">
        <w:rPr>
          <w:rFonts w:ascii="Arial Narrow" w:hAnsi="Arial Narrow"/>
          <w:color w:val="000000"/>
          <w:lang w:val="ru-RU"/>
        </w:rPr>
        <w:t>За текущата отчетна година Дружеството е приело всички нови и/ или ревизирани стандарти и тълкувания, издадени от Съвета по Международни счетоводни стандарти (СМСС) и респ. от Комитета за разяснения на МСФО (КРМСФО), които са били уместни за неговата дейност.</w:t>
      </w:r>
    </w:p>
    <w:p w:rsidR="00423ED3" w:rsidRPr="0017792B" w:rsidRDefault="00423ED3" w:rsidP="00423ED3">
      <w:pPr>
        <w:tabs>
          <w:tab w:val="left" w:pos="567"/>
        </w:tabs>
        <w:spacing w:before="240" w:line="360" w:lineRule="auto"/>
        <w:ind w:left="578"/>
        <w:outlineLvl w:val="0"/>
        <w:rPr>
          <w:b/>
          <w:color w:val="000000"/>
        </w:rPr>
      </w:pPr>
      <w:bookmarkStart w:id="0" w:name="_Toc321656942"/>
      <w:bookmarkStart w:id="1" w:name="_Toc324673287"/>
      <w:bookmarkStart w:id="2" w:name="_Toc328565401"/>
      <w:r w:rsidRPr="0017792B">
        <w:rPr>
          <w:b/>
          <w:color w:val="000000"/>
          <w:lang w:val="en-US"/>
        </w:rPr>
        <w:t>2.1.</w:t>
      </w:r>
      <w:r w:rsidRPr="0017792B">
        <w:rPr>
          <w:b/>
          <w:color w:val="000000"/>
        </w:rPr>
        <w:t>Основни предположения</w:t>
      </w:r>
      <w:bookmarkEnd w:id="0"/>
      <w:bookmarkEnd w:id="1"/>
      <w:bookmarkEnd w:id="2"/>
    </w:p>
    <w:p w:rsidR="00423ED3" w:rsidRPr="0017792B" w:rsidRDefault="00423ED3" w:rsidP="00423ED3">
      <w:pPr>
        <w:widowControl w:val="0"/>
        <w:shd w:val="clear" w:color="auto" w:fill="FFFFFF"/>
        <w:autoSpaceDE w:val="0"/>
        <w:autoSpaceDN w:val="0"/>
        <w:adjustRightInd w:val="0"/>
        <w:spacing w:before="120" w:line="276" w:lineRule="auto"/>
        <w:jc w:val="both"/>
        <w:rPr>
          <w:rFonts w:ascii="Arial Narrow" w:hAnsi="Arial Narrow"/>
          <w:color w:val="000000"/>
          <w:lang w:val="ru-RU"/>
        </w:rPr>
      </w:pPr>
      <w:r w:rsidRPr="0017792B">
        <w:rPr>
          <w:rFonts w:ascii="Arial Narrow" w:hAnsi="Arial Narrow"/>
          <w:color w:val="000000"/>
          <w:lang w:val="ru-RU"/>
        </w:rPr>
        <w:lastRenderedPageBreak/>
        <w:t>Настоящият финансов отчет на Дружеството е изготвен на база историческа цена, модифицирана в определени случаи с преоценката на някои активи и/ или пасиви по тяхната справедлива стойност към датата на съставяне на финансовия отчет като това е посочено в съответните съпровождащи бележки.</w:t>
      </w:r>
    </w:p>
    <w:p w:rsidR="00423ED3" w:rsidRPr="0017792B" w:rsidRDefault="00423ED3" w:rsidP="00423ED3">
      <w:pPr>
        <w:widowControl w:val="0"/>
        <w:shd w:val="clear" w:color="auto" w:fill="FFFFFF"/>
        <w:autoSpaceDE w:val="0"/>
        <w:autoSpaceDN w:val="0"/>
        <w:adjustRightInd w:val="0"/>
        <w:spacing w:before="120" w:line="276" w:lineRule="auto"/>
        <w:jc w:val="both"/>
        <w:rPr>
          <w:rFonts w:ascii="Arial Narrow" w:hAnsi="Arial Narrow"/>
          <w:noProof/>
          <w:color w:val="000000"/>
          <w:lang w:val="ru-RU"/>
        </w:rPr>
      </w:pPr>
      <w:r w:rsidRPr="0017792B">
        <w:rPr>
          <w:rFonts w:ascii="Arial Narrow" w:hAnsi="Arial Narrow"/>
          <w:noProof/>
          <w:color w:val="000000"/>
          <w:lang w:val="ru-RU"/>
        </w:rPr>
        <w:t>Дружеството води своите счетоводни регистри в български лев (BGN), който приема като негова отчетна валута за представяне. Данните в отчета и приложенията към него са представени в хиляди лева, освен ако нещо друго изрично не е указано.</w:t>
      </w:r>
    </w:p>
    <w:p w:rsidR="00423ED3" w:rsidRPr="0017792B" w:rsidRDefault="00423ED3" w:rsidP="00423ED3">
      <w:pPr>
        <w:widowControl w:val="0"/>
        <w:shd w:val="clear" w:color="auto" w:fill="FFFFFF"/>
        <w:autoSpaceDE w:val="0"/>
        <w:autoSpaceDN w:val="0"/>
        <w:adjustRightInd w:val="0"/>
        <w:spacing w:before="120" w:line="276" w:lineRule="auto"/>
        <w:jc w:val="both"/>
        <w:rPr>
          <w:rFonts w:ascii="Arial Narrow" w:hAnsi="Arial Narrow"/>
          <w:noProof/>
          <w:color w:val="000000"/>
        </w:rPr>
      </w:pPr>
      <w:r w:rsidRPr="0017792B">
        <w:rPr>
          <w:rFonts w:ascii="Arial Narrow" w:hAnsi="Arial Narrow"/>
          <w:noProof/>
          <w:color w:val="000000"/>
          <w:lang w:val="ru-RU"/>
        </w:rPr>
        <w:t>Представянето на финансов отчет съгласно Международните стандарти за финансови отчети изисква ръководството да направи най-добри приблизителни оценки, начисления и разумно обосновани предположения, които оказват ефект върху отчетените стойности на активите и пасивите, на приходите и разходите, и на оповестяването на условни вземания и задължения към датата на отчета. Тези приблизителни оценки, начисления и предположения са основани на информацията, която е налична към датата на финансовия отчет, поради което бъдещите фактически резултати биха могли да бъдат различни от тях (като в условията на финансова криза несигурностите са по-значителни). Обектите, които предполагат по-висока степен на субективна преценка или сложност, или където предположенията и  приблизителните счетоводни оценки са съществени за финансовия отчет, са оповестени</w:t>
      </w:r>
      <w:r w:rsidRPr="0017792B">
        <w:rPr>
          <w:rFonts w:ascii="Arial Narrow" w:hAnsi="Arial Narrow"/>
          <w:noProof/>
          <w:color w:val="000000"/>
        </w:rPr>
        <w:t>.</w:t>
      </w:r>
    </w:p>
    <w:p w:rsidR="00423ED3" w:rsidRPr="0017792B" w:rsidRDefault="00423ED3" w:rsidP="00423ED3">
      <w:pPr>
        <w:tabs>
          <w:tab w:val="left" w:pos="567"/>
        </w:tabs>
        <w:spacing w:before="240" w:line="360" w:lineRule="auto"/>
        <w:ind w:left="578"/>
        <w:outlineLvl w:val="0"/>
        <w:rPr>
          <w:b/>
          <w:color w:val="000000"/>
          <w:lang w:val="en-US"/>
        </w:rPr>
      </w:pPr>
      <w:bookmarkStart w:id="3" w:name="_Toc262631533"/>
      <w:bookmarkStart w:id="4" w:name="_Toc262632146"/>
      <w:bookmarkStart w:id="5" w:name="_Toc262632559"/>
      <w:bookmarkStart w:id="6" w:name="_Toc262632860"/>
      <w:bookmarkStart w:id="7" w:name="_Toc293073241"/>
      <w:bookmarkStart w:id="8" w:name="_Toc293306036"/>
      <w:bookmarkStart w:id="9" w:name="_Toc321314570"/>
      <w:r w:rsidRPr="0017792B">
        <w:rPr>
          <w:b/>
          <w:color w:val="000000"/>
          <w:lang w:val="en-US"/>
        </w:rPr>
        <w:t xml:space="preserve">2.2.Консолидиран </w:t>
      </w:r>
      <w:proofErr w:type="spellStart"/>
      <w:r w:rsidRPr="0017792B">
        <w:rPr>
          <w:b/>
          <w:color w:val="000000"/>
          <w:lang w:val="en-US"/>
        </w:rPr>
        <w:t>финансов</w:t>
      </w:r>
      <w:proofErr w:type="spellEnd"/>
      <w:r w:rsidRPr="0017792B">
        <w:rPr>
          <w:b/>
          <w:color w:val="000000"/>
          <w:lang w:val="en-US"/>
        </w:rPr>
        <w:t xml:space="preserve"> </w:t>
      </w:r>
      <w:proofErr w:type="spellStart"/>
      <w:r w:rsidRPr="0017792B">
        <w:rPr>
          <w:b/>
          <w:color w:val="000000"/>
          <w:lang w:val="en-US"/>
        </w:rPr>
        <w:t>отчет</w:t>
      </w:r>
      <w:bookmarkEnd w:id="3"/>
      <w:bookmarkEnd w:id="4"/>
      <w:bookmarkEnd w:id="5"/>
      <w:bookmarkEnd w:id="6"/>
      <w:bookmarkEnd w:id="7"/>
      <w:bookmarkEnd w:id="8"/>
      <w:bookmarkEnd w:id="9"/>
      <w:proofErr w:type="spellEnd"/>
    </w:p>
    <w:p w:rsidR="00423ED3" w:rsidRPr="0017792B" w:rsidRDefault="00423ED3" w:rsidP="00423ED3">
      <w:pPr>
        <w:widowControl w:val="0"/>
        <w:shd w:val="clear" w:color="auto" w:fill="FFFFFF"/>
        <w:autoSpaceDE w:val="0"/>
        <w:autoSpaceDN w:val="0"/>
        <w:adjustRightInd w:val="0"/>
        <w:spacing w:before="120" w:line="276" w:lineRule="auto"/>
        <w:jc w:val="both"/>
        <w:rPr>
          <w:color w:val="000000"/>
        </w:rPr>
      </w:pPr>
      <w:r w:rsidRPr="0017792B">
        <w:rPr>
          <w:color w:val="000000"/>
        </w:rPr>
        <w:t xml:space="preserve">Инвестмънт </w:t>
      </w:r>
      <w:proofErr w:type="spellStart"/>
      <w:r w:rsidRPr="0017792B">
        <w:rPr>
          <w:color w:val="000000"/>
        </w:rPr>
        <w:t>Пропъртис</w:t>
      </w:r>
      <w:proofErr w:type="spellEnd"/>
      <w:r w:rsidRPr="0017792B">
        <w:rPr>
          <w:color w:val="000000"/>
        </w:rPr>
        <w:t xml:space="preserve"> АДСИЦ</w:t>
      </w:r>
      <w:r w:rsidRPr="0017792B">
        <w:rPr>
          <w:color w:val="000000"/>
          <w:lang w:val="ru-RU"/>
        </w:rPr>
        <w:t xml:space="preserve"> не съставя консолидиран финансов отчет. Настоя</w:t>
      </w:r>
      <w:r w:rsidRPr="0017792B">
        <w:rPr>
          <w:color w:val="000000"/>
        </w:rPr>
        <w:t>щ</w:t>
      </w:r>
      <w:r w:rsidRPr="0017792B">
        <w:rPr>
          <w:color w:val="000000"/>
          <w:lang w:val="ru-RU"/>
        </w:rPr>
        <w:t xml:space="preserve">ият финансов отчет на дружеството за </w:t>
      </w:r>
      <w:r>
        <w:rPr>
          <w:color w:val="000000"/>
        </w:rPr>
        <w:t xml:space="preserve">първо тримесечие на </w:t>
      </w:r>
      <w:r w:rsidRPr="0017792B">
        <w:rPr>
          <w:color w:val="000000"/>
          <w:lang w:val="ru-RU"/>
        </w:rPr>
        <w:t>201</w:t>
      </w:r>
      <w:r>
        <w:rPr>
          <w:color w:val="000000"/>
          <w:lang w:val="en-US"/>
        </w:rPr>
        <w:t>6</w:t>
      </w:r>
      <w:r w:rsidRPr="0017792B">
        <w:rPr>
          <w:color w:val="000000"/>
          <w:lang w:val="ru-RU"/>
        </w:rPr>
        <w:t xml:space="preserve"> г. </w:t>
      </w:r>
      <w:r w:rsidRPr="0017792B">
        <w:rPr>
          <w:color w:val="000000"/>
        </w:rPr>
        <w:t>щ</w:t>
      </w:r>
      <w:r w:rsidRPr="0017792B">
        <w:rPr>
          <w:color w:val="000000"/>
          <w:lang w:val="ru-RU"/>
        </w:rPr>
        <w:t xml:space="preserve">е бъде консолидиран във финансовите отчети към групата на </w:t>
      </w:r>
      <w:r w:rsidRPr="0017792B">
        <w:rPr>
          <w:color w:val="000000"/>
        </w:rPr>
        <w:t xml:space="preserve">Ви </w:t>
      </w:r>
      <w:proofErr w:type="spellStart"/>
      <w:r w:rsidRPr="0017792B">
        <w:rPr>
          <w:color w:val="000000"/>
        </w:rPr>
        <w:t>Веста</w:t>
      </w:r>
      <w:proofErr w:type="spellEnd"/>
      <w:r w:rsidRPr="0017792B">
        <w:rPr>
          <w:color w:val="000000"/>
        </w:rPr>
        <w:t xml:space="preserve"> Холдинг Е</w:t>
      </w:r>
      <w:r w:rsidRPr="0017792B">
        <w:rPr>
          <w:color w:val="000000"/>
          <w:lang w:val="ru-RU"/>
        </w:rPr>
        <w:t>АД</w:t>
      </w:r>
      <w:r w:rsidRPr="0017792B">
        <w:rPr>
          <w:color w:val="000000"/>
        </w:rPr>
        <w:t>.</w:t>
      </w:r>
    </w:p>
    <w:p w:rsidR="00423ED3" w:rsidRPr="0017792B" w:rsidRDefault="00423ED3" w:rsidP="00423ED3">
      <w:pPr>
        <w:tabs>
          <w:tab w:val="left" w:pos="567"/>
        </w:tabs>
        <w:spacing w:before="240" w:line="360" w:lineRule="auto"/>
        <w:ind w:left="578"/>
        <w:outlineLvl w:val="0"/>
        <w:rPr>
          <w:b/>
          <w:color w:val="000000"/>
          <w:lang w:val="en-US"/>
        </w:rPr>
      </w:pPr>
      <w:bookmarkStart w:id="10" w:name="_Toc225831132"/>
      <w:bookmarkStart w:id="11" w:name="_Toc225831208"/>
      <w:bookmarkStart w:id="12" w:name="_Toc225831332"/>
      <w:bookmarkStart w:id="13" w:name="_Toc262631534"/>
      <w:bookmarkStart w:id="14" w:name="_Toc262632147"/>
      <w:bookmarkStart w:id="15" w:name="_Toc262632560"/>
      <w:bookmarkStart w:id="16" w:name="_Toc262632861"/>
      <w:bookmarkStart w:id="17" w:name="_Toc293073242"/>
      <w:bookmarkStart w:id="18" w:name="_Toc293306037"/>
      <w:bookmarkStart w:id="19" w:name="_Toc321314571"/>
      <w:r w:rsidRPr="0017792B">
        <w:rPr>
          <w:b/>
          <w:color w:val="000000"/>
        </w:rPr>
        <w:t>2.3.</w:t>
      </w:r>
      <w:proofErr w:type="spellStart"/>
      <w:r w:rsidRPr="0017792B">
        <w:rPr>
          <w:b/>
          <w:color w:val="000000"/>
          <w:lang w:val="en-US"/>
        </w:rPr>
        <w:t>Сравнителни</w:t>
      </w:r>
      <w:proofErr w:type="spellEnd"/>
      <w:r w:rsidRPr="0017792B">
        <w:rPr>
          <w:b/>
          <w:color w:val="000000"/>
          <w:lang w:val="en-US"/>
        </w:rPr>
        <w:t xml:space="preserve"> </w:t>
      </w:r>
      <w:proofErr w:type="spellStart"/>
      <w:r w:rsidRPr="0017792B">
        <w:rPr>
          <w:b/>
          <w:color w:val="000000"/>
          <w:lang w:val="en-US"/>
        </w:rPr>
        <w:t>данни</w:t>
      </w:r>
      <w:bookmarkEnd w:id="10"/>
      <w:bookmarkEnd w:id="11"/>
      <w:bookmarkEnd w:id="12"/>
      <w:bookmarkEnd w:id="13"/>
      <w:bookmarkEnd w:id="14"/>
      <w:bookmarkEnd w:id="15"/>
      <w:bookmarkEnd w:id="16"/>
      <w:bookmarkEnd w:id="17"/>
      <w:bookmarkEnd w:id="18"/>
      <w:bookmarkEnd w:id="19"/>
      <w:proofErr w:type="spellEnd"/>
    </w:p>
    <w:p w:rsidR="00423ED3" w:rsidRPr="0017792B" w:rsidRDefault="00423ED3" w:rsidP="00423ED3">
      <w:pPr>
        <w:widowControl w:val="0"/>
        <w:shd w:val="clear" w:color="auto" w:fill="FFFFFF"/>
        <w:autoSpaceDE w:val="0"/>
        <w:autoSpaceDN w:val="0"/>
        <w:adjustRightInd w:val="0"/>
        <w:spacing w:before="120" w:line="276" w:lineRule="auto"/>
        <w:jc w:val="both"/>
        <w:rPr>
          <w:color w:val="000000"/>
        </w:rPr>
      </w:pPr>
      <w:r w:rsidRPr="0017792B">
        <w:rPr>
          <w:color w:val="000000"/>
          <w:lang w:val="ru-RU"/>
        </w:rPr>
        <w:t xml:space="preserve">Дружеството представя сравнителна информация в този финансов отчет за една предходна година, като за статиите в Отчета за финансовото състояние и </w:t>
      </w:r>
      <w:r w:rsidRPr="0017792B">
        <w:rPr>
          <w:color w:val="000000"/>
        </w:rPr>
        <w:t xml:space="preserve">Отчета за изменение на </w:t>
      </w:r>
      <w:r w:rsidRPr="0017792B">
        <w:rPr>
          <w:color w:val="000000"/>
          <w:lang w:val="ru-RU"/>
        </w:rPr>
        <w:t>собствения капитал</w:t>
      </w:r>
      <w:r w:rsidRPr="0017792B">
        <w:rPr>
          <w:color w:val="000000"/>
        </w:rPr>
        <w:t>, както и пояснителните бележки за тях, са представени сравнителни данни към началото на най-ранния сравнителен период.</w:t>
      </w:r>
    </w:p>
    <w:p w:rsidR="00423ED3" w:rsidRPr="0017792B" w:rsidRDefault="00423ED3" w:rsidP="00423ED3">
      <w:pPr>
        <w:widowControl w:val="0"/>
        <w:shd w:val="clear" w:color="auto" w:fill="FFFFFF"/>
        <w:autoSpaceDE w:val="0"/>
        <w:autoSpaceDN w:val="0"/>
        <w:adjustRightInd w:val="0"/>
        <w:spacing w:before="120" w:line="276" w:lineRule="auto"/>
        <w:jc w:val="both"/>
        <w:rPr>
          <w:color w:val="000000"/>
          <w:lang w:val="ru-RU"/>
        </w:rPr>
      </w:pPr>
      <w:r w:rsidRPr="0017792B">
        <w:rPr>
          <w:color w:val="000000"/>
          <w:lang w:val="ru-RU"/>
        </w:rPr>
        <w:t>Където е необходимо, сравнителните данни с</w:t>
      </w:r>
      <w:r w:rsidRPr="0017792B">
        <w:rPr>
          <w:color w:val="000000"/>
        </w:rPr>
        <w:t>а</w:t>
      </w:r>
      <w:r w:rsidRPr="0017792B">
        <w:rPr>
          <w:color w:val="000000"/>
          <w:lang w:val="ru-RU"/>
        </w:rPr>
        <w:t xml:space="preserve"> рекласифицира</w:t>
      </w:r>
      <w:r w:rsidRPr="0017792B">
        <w:rPr>
          <w:color w:val="000000"/>
        </w:rPr>
        <w:t>ни</w:t>
      </w:r>
      <w:r w:rsidRPr="0017792B">
        <w:rPr>
          <w:color w:val="000000"/>
          <w:lang w:val="ru-RU"/>
        </w:rPr>
        <w:t>, за да се постигне съпоставимост спрямо промени в представянето в текущата година.</w:t>
      </w:r>
    </w:p>
    <w:p w:rsidR="00423ED3" w:rsidRPr="0017792B" w:rsidRDefault="00423ED3" w:rsidP="00423ED3">
      <w:pPr>
        <w:widowControl w:val="0"/>
        <w:shd w:val="clear" w:color="auto" w:fill="FFFFFF"/>
        <w:autoSpaceDE w:val="0"/>
        <w:autoSpaceDN w:val="0"/>
        <w:adjustRightInd w:val="0"/>
        <w:spacing w:before="120" w:line="276" w:lineRule="auto"/>
        <w:jc w:val="both"/>
        <w:rPr>
          <w:color w:val="000000"/>
          <w:lang w:val="ru-RU"/>
        </w:rPr>
      </w:pPr>
    </w:p>
    <w:p w:rsidR="00423ED3" w:rsidRPr="0017792B" w:rsidRDefault="00423ED3" w:rsidP="00423ED3">
      <w:pPr>
        <w:widowControl w:val="0"/>
        <w:shd w:val="clear" w:color="auto" w:fill="FFFFFF"/>
        <w:autoSpaceDE w:val="0"/>
        <w:autoSpaceDN w:val="0"/>
        <w:adjustRightInd w:val="0"/>
        <w:spacing w:before="120" w:line="276" w:lineRule="auto"/>
        <w:jc w:val="both"/>
        <w:rPr>
          <w:color w:val="000000"/>
          <w:lang w:val="ru-RU"/>
        </w:rPr>
      </w:pPr>
    </w:p>
    <w:p w:rsidR="00423ED3" w:rsidRPr="0017792B" w:rsidRDefault="00423ED3" w:rsidP="00423ED3">
      <w:pPr>
        <w:tabs>
          <w:tab w:val="left" w:pos="567"/>
        </w:tabs>
        <w:spacing w:before="240" w:line="360" w:lineRule="auto"/>
        <w:ind w:left="578"/>
        <w:outlineLvl w:val="0"/>
        <w:rPr>
          <w:b/>
          <w:color w:val="000000"/>
          <w:lang w:val="en-US"/>
        </w:rPr>
      </w:pPr>
      <w:bookmarkStart w:id="20" w:name="_Toc225831133"/>
      <w:bookmarkStart w:id="21" w:name="_Toc225831209"/>
      <w:bookmarkStart w:id="22" w:name="_Toc225831333"/>
      <w:bookmarkStart w:id="23" w:name="_Toc262631535"/>
      <w:bookmarkStart w:id="24" w:name="_Toc262632148"/>
      <w:bookmarkStart w:id="25" w:name="_Toc262632561"/>
      <w:bookmarkStart w:id="26" w:name="_Toc262632862"/>
      <w:bookmarkStart w:id="27" w:name="_Toc293073243"/>
      <w:bookmarkStart w:id="28" w:name="_Toc293306038"/>
      <w:bookmarkStart w:id="29" w:name="_Toc321314572"/>
      <w:r w:rsidRPr="0017792B">
        <w:rPr>
          <w:b/>
          <w:color w:val="000000"/>
        </w:rPr>
        <w:t>2.4.</w:t>
      </w:r>
      <w:proofErr w:type="spellStart"/>
      <w:r w:rsidRPr="0017792B">
        <w:rPr>
          <w:b/>
          <w:color w:val="000000"/>
          <w:lang w:val="en-US"/>
        </w:rPr>
        <w:t>Инфлационно</w:t>
      </w:r>
      <w:proofErr w:type="spellEnd"/>
      <w:r w:rsidRPr="0017792B">
        <w:rPr>
          <w:b/>
          <w:color w:val="000000"/>
          <w:lang w:val="en-US"/>
        </w:rPr>
        <w:t xml:space="preserve"> </w:t>
      </w:r>
      <w:proofErr w:type="spellStart"/>
      <w:r w:rsidRPr="0017792B">
        <w:rPr>
          <w:b/>
          <w:color w:val="000000"/>
          <w:lang w:val="en-US"/>
        </w:rPr>
        <w:t>преизчисление</w:t>
      </w:r>
      <w:proofErr w:type="spellEnd"/>
      <w:r w:rsidRPr="0017792B">
        <w:rPr>
          <w:b/>
          <w:color w:val="000000"/>
          <w:lang w:val="en-US"/>
        </w:rPr>
        <w:t xml:space="preserve"> </w:t>
      </w:r>
      <w:proofErr w:type="spellStart"/>
      <w:r w:rsidRPr="0017792B">
        <w:rPr>
          <w:b/>
          <w:color w:val="000000"/>
          <w:lang w:val="en-US"/>
        </w:rPr>
        <w:t>на</w:t>
      </w:r>
      <w:proofErr w:type="spellEnd"/>
      <w:r w:rsidRPr="0017792B">
        <w:rPr>
          <w:b/>
          <w:color w:val="000000"/>
          <w:lang w:val="en-US"/>
        </w:rPr>
        <w:t xml:space="preserve"> </w:t>
      </w:r>
      <w:proofErr w:type="spellStart"/>
      <w:r w:rsidRPr="0017792B">
        <w:rPr>
          <w:b/>
          <w:color w:val="000000"/>
          <w:lang w:val="en-US"/>
        </w:rPr>
        <w:t>отчетните</w:t>
      </w:r>
      <w:proofErr w:type="spellEnd"/>
      <w:r w:rsidRPr="0017792B">
        <w:rPr>
          <w:b/>
          <w:color w:val="000000"/>
          <w:lang w:val="en-US"/>
        </w:rPr>
        <w:t xml:space="preserve"> </w:t>
      </w:r>
      <w:proofErr w:type="spellStart"/>
      <w:r w:rsidRPr="0017792B">
        <w:rPr>
          <w:b/>
          <w:color w:val="000000"/>
          <w:lang w:val="en-US"/>
        </w:rPr>
        <w:t>показатели</w:t>
      </w:r>
      <w:bookmarkEnd w:id="20"/>
      <w:bookmarkEnd w:id="21"/>
      <w:bookmarkEnd w:id="22"/>
      <w:bookmarkEnd w:id="23"/>
      <w:bookmarkEnd w:id="24"/>
      <w:bookmarkEnd w:id="25"/>
      <w:bookmarkEnd w:id="26"/>
      <w:bookmarkEnd w:id="27"/>
      <w:bookmarkEnd w:id="28"/>
      <w:bookmarkEnd w:id="29"/>
      <w:proofErr w:type="spellEnd"/>
    </w:p>
    <w:p w:rsidR="00423ED3" w:rsidRPr="0017792B" w:rsidRDefault="00423ED3" w:rsidP="00423ED3">
      <w:pPr>
        <w:widowControl w:val="0"/>
        <w:shd w:val="clear" w:color="auto" w:fill="FFFFFF"/>
        <w:autoSpaceDE w:val="0"/>
        <w:autoSpaceDN w:val="0"/>
        <w:adjustRightInd w:val="0"/>
        <w:spacing w:before="120" w:line="276" w:lineRule="auto"/>
        <w:jc w:val="both"/>
        <w:rPr>
          <w:color w:val="000000"/>
          <w:lang w:val="ru-RU"/>
        </w:rPr>
      </w:pPr>
      <w:r w:rsidRPr="0017792B">
        <w:rPr>
          <w:color w:val="000000"/>
          <w:lang w:val="ru-RU"/>
        </w:rPr>
        <w:t xml:space="preserve">За </w:t>
      </w:r>
      <w:r>
        <w:rPr>
          <w:color w:val="000000"/>
          <w:lang w:val="en-US"/>
        </w:rPr>
        <w:t>2015,</w:t>
      </w:r>
      <w:r w:rsidRPr="0017792B">
        <w:rPr>
          <w:color w:val="000000"/>
          <w:lang w:val="ru-RU"/>
        </w:rPr>
        <w:t>20</w:t>
      </w:r>
      <w:r w:rsidRPr="0017792B">
        <w:rPr>
          <w:color w:val="000000"/>
          <w:lang w:val="en-US"/>
        </w:rPr>
        <w:t>14</w:t>
      </w:r>
      <w:r>
        <w:rPr>
          <w:color w:val="000000"/>
        </w:rPr>
        <w:t>г.</w:t>
      </w:r>
      <w:r>
        <w:rPr>
          <w:color w:val="000000"/>
          <w:lang w:val="en-US"/>
        </w:rPr>
        <w:t xml:space="preserve"> </w:t>
      </w:r>
      <w:r>
        <w:rPr>
          <w:color w:val="000000"/>
        </w:rPr>
        <w:t>и</w:t>
      </w:r>
      <w:r w:rsidRPr="0017792B">
        <w:rPr>
          <w:color w:val="000000"/>
          <w:lang w:val="ru-RU"/>
        </w:rPr>
        <w:t xml:space="preserve"> 20</w:t>
      </w:r>
      <w:r w:rsidRPr="0017792B">
        <w:rPr>
          <w:color w:val="000000"/>
          <w:lang w:val="en-US"/>
        </w:rPr>
        <w:t>13</w:t>
      </w:r>
      <w:r w:rsidRPr="0017792B">
        <w:rPr>
          <w:color w:val="000000"/>
          <w:lang w:val="ru-RU"/>
        </w:rPr>
        <w:t xml:space="preserve"> </w:t>
      </w:r>
      <w:r w:rsidRPr="0017792B">
        <w:rPr>
          <w:color w:val="000000"/>
        </w:rPr>
        <w:t>г</w:t>
      </w:r>
      <w:r w:rsidRPr="0017792B">
        <w:rPr>
          <w:color w:val="000000"/>
          <w:lang w:val="en-US"/>
        </w:rPr>
        <w:t>.</w:t>
      </w:r>
      <w:r w:rsidRPr="0017792B">
        <w:rPr>
          <w:color w:val="000000"/>
          <w:lang w:val="ru-RU"/>
        </w:rPr>
        <w:t>не са извършвани инфлационни преизчисления на отчитаните показатели на дружеството, тъй като липсва хиперинфлационна стопанска среда.</w:t>
      </w:r>
    </w:p>
    <w:p w:rsidR="00423ED3" w:rsidRPr="0017792B" w:rsidRDefault="00423ED3" w:rsidP="00423ED3">
      <w:pPr>
        <w:tabs>
          <w:tab w:val="left" w:pos="567"/>
        </w:tabs>
        <w:spacing w:before="240" w:line="360" w:lineRule="auto"/>
        <w:ind w:left="578"/>
        <w:outlineLvl w:val="0"/>
        <w:rPr>
          <w:b/>
          <w:color w:val="000000"/>
          <w:lang w:val="en-US"/>
        </w:rPr>
      </w:pPr>
      <w:bookmarkStart w:id="30" w:name="_Toc225831134"/>
      <w:bookmarkStart w:id="31" w:name="_Toc225831210"/>
      <w:bookmarkStart w:id="32" w:name="_Toc225831334"/>
      <w:bookmarkStart w:id="33" w:name="_Toc262631536"/>
      <w:bookmarkStart w:id="34" w:name="_Toc262632149"/>
      <w:bookmarkStart w:id="35" w:name="_Toc262632562"/>
      <w:bookmarkStart w:id="36" w:name="_Toc262632863"/>
      <w:bookmarkStart w:id="37" w:name="_Toc293073244"/>
      <w:bookmarkStart w:id="38" w:name="_Toc293306039"/>
      <w:bookmarkStart w:id="39" w:name="_Toc321314573"/>
      <w:r w:rsidRPr="0017792B">
        <w:rPr>
          <w:b/>
          <w:color w:val="000000"/>
        </w:rPr>
        <w:t>2.5.</w:t>
      </w:r>
      <w:proofErr w:type="spellStart"/>
      <w:r w:rsidRPr="0017792B">
        <w:rPr>
          <w:b/>
          <w:color w:val="000000"/>
          <w:lang w:val="en-US"/>
        </w:rPr>
        <w:t>Функционална</w:t>
      </w:r>
      <w:proofErr w:type="spellEnd"/>
      <w:r w:rsidRPr="0017792B">
        <w:rPr>
          <w:b/>
          <w:color w:val="000000"/>
          <w:lang w:val="en-US"/>
        </w:rPr>
        <w:t xml:space="preserve"> </w:t>
      </w:r>
      <w:proofErr w:type="spellStart"/>
      <w:r w:rsidRPr="0017792B">
        <w:rPr>
          <w:b/>
          <w:color w:val="000000"/>
          <w:lang w:val="en-US"/>
        </w:rPr>
        <w:t>валута</w:t>
      </w:r>
      <w:proofErr w:type="spellEnd"/>
      <w:r w:rsidRPr="0017792B">
        <w:rPr>
          <w:b/>
          <w:color w:val="000000"/>
          <w:lang w:val="en-US"/>
        </w:rPr>
        <w:t xml:space="preserve"> и </w:t>
      </w:r>
      <w:proofErr w:type="spellStart"/>
      <w:r w:rsidRPr="0017792B">
        <w:rPr>
          <w:b/>
          <w:color w:val="000000"/>
          <w:lang w:val="en-US"/>
        </w:rPr>
        <w:t>признаване</w:t>
      </w:r>
      <w:proofErr w:type="spellEnd"/>
      <w:r w:rsidRPr="0017792B">
        <w:rPr>
          <w:b/>
          <w:color w:val="000000"/>
          <w:lang w:val="en-US"/>
        </w:rPr>
        <w:t xml:space="preserve"> </w:t>
      </w:r>
      <w:proofErr w:type="spellStart"/>
      <w:r w:rsidRPr="0017792B">
        <w:rPr>
          <w:b/>
          <w:color w:val="000000"/>
          <w:lang w:val="en-US"/>
        </w:rPr>
        <w:t>на</w:t>
      </w:r>
      <w:proofErr w:type="spellEnd"/>
      <w:r w:rsidRPr="0017792B">
        <w:rPr>
          <w:b/>
          <w:color w:val="000000"/>
          <w:lang w:val="en-US"/>
        </w:rPr>
        <w:t xml:space="preserve"> </w:t>
      </w:r>
      <w:proofErr w:type="spellStart"/>
      <w:r w:rsidRPr="0017792B">
        <w:rPr>
          <w:b/>
          <w:color w:val="000000"/>
          <w:lang w:val="en-US"/>
        </w:rPr>
        <w:t>курсови</w:t>
      </w:r>
      <w:proofErr w:type="spellEnd"/>
      <w:r w:rsidRPr="0017792B">
        <w:rPr>
          <w:b/>
          <w:color w:val="000000"/>
          <w:lang w:val="en-US"/>
        </w:rPr>
        <w:t xml:space="preserve"> </w:t>
      </w:r>
      <w:proofErr w:type="spellStart"/>
      <w:r w:rsidRPr="0017792B">
        <w:rPr>
          <w:b/>
          <w:color w:val="000000"/>
          <w:lang w:val="en-US"/>
        </w:rPr>
        <w:t>разлики</w:t>
      </w:r>
      <w:bookmarkEnd w:id="30"/>
      <w:bookmarkEnd w:id="31"/>
      <w:bookmarkEnd w:id="32"/>
      <w:bookmarkEnd w:id="33"/>
      <w:bookmarkEnd w:id="34"/>
      <w:bookmarkEnd w:id="35"/>
      <w:bookmarkEnd w:id="36"/>
      <w:bookmarkEnd w:id="37"/>
      <w:bookmarkEnd w:id="38"/>
      <w:bookmarkEnd w:id="39"/>
      <w:proofErr w:type="spellEnd"/>
    </w:p>
    <w:p w:rsidR="00423ED3" w:rsidRPr="0017792B" w:rsidRDefault="00423ED3" w:rsidP="00423ED3">
      <w:pPr>
        <w:widowControl w:val="0"/>
        <w:shd w:val="clear" w:color="auto" w:fill="FFFFFF"/>
        <w:autoSpaceDE w:val="0"/>
        <w:autoSpaceDN w:val="0"/>
        <w:adjustRightInd w:val="0"/>
        <w:spacing w:before="120" w:line="276" w:lineRule="auto"/>
        <w:jc w:val="both"/>
        <w:rPr>
          <w:color w:val="000000"/>
          <w:lang w:val="ru-RU"/>
        </w:rPr>
      </w:pPr>
      <w:r w:rsidRPr="0017792B">
        <w:rPr>
          <w:color w:val="000000"/>
          <w:lang w:val="ru-RU"/>
        </w:rPr>
        <w:lastRenderedPageBreak/>
        <w:t xml:space="preserve">Функционалната и отчетна валута на представяне на финансовия отчет на дружеството е българският лев. От 01.07.1997 г. левът е фиксиран в съответствие със Закона за БНБ към германската марка в съотношение </w:t>
      </w:r>
      <w:r w:rsidRPr="0017792B">
        <w:rPr>
          <w:color w:val="000000"/>
          <w:lang w:val="en-US"/>
        </w:rPr>
        <w:t xml:space="preserve">BGN 1:DEM </w:t>
      </w:r>
      <w:r w:rsidRPr="0017792B">
        <w:rPr>
          <w:color w:val="000000"/>
          <w:lang w:val="ru-RU"/>
        </w:rPr>
        <w:t xml:space="preserve">1, а с въвеждането на еврото като официална валута на Европейския съюз - с еврото в съотношение </w:t>
      </w:r>
      <w:r w:rsidRPr="0017792B">
        <w:rPr>
          <w:color w:val="000000"/>
          <w:lang w:val="en-US"/>
        </w:rPr>
        <w:t xml:space="preserve">BGN 1.95583:EUR </w:t>
      </w:r>
      <w:r w:rsidRPr="0017792B">
        <w:rPr>
          <w:color w:val="000000"/>
          <w:lang w:val="ru-RU"/>
        </w:rPr>
        <w:t>1.</w:t>
      </w:r>
    </w:p>
    <w:p w:rsidR="00423ED3" w:rsidRPr="0017792B" w:rsidRDefault="00423ED3" w:rsidP="00423ED3">
      <w:pPr>
        <w:widowControl w:val="0"/>
        <w:shd w:val="clear" w:color="auto" w:fill="FFFFFF"/>
        <w:autoSpaceDE w:val="0"/>
        <w:autoSpaceDN w:val="0"/>
        <w:adjustRightInd w:val="0"/>
        <w:spacing w:before="120" w:line="276" w:lineRule="auto"/>
        <w:jc w:val="both"/>
        <w:rPr>
          <w:color w:val="000000"/>
          <w:lang w:val="ru-RU"/>
        </w:rPr>
      </w:pPr>
      <w:r w:rsidRPr="0017792B">
        <w:rPr>
          <w:color w:val="000000"/>
          <w:lang w:val="ru-RU"/>
        </w:rPr>
        <w:t xml:space="preserve">При първоначално признаване, сделка в чуждестранна валута се записва във функционалната валута, като към сумата в чуждестранна валута се прилага обменният курс към момента на сделката или операцията. Паричните средства, вземанията и задълженията, като монетарни отчетни обекти, деноминирани в чуждестранна валута се отчитат във функционалната валута като се прилага обменният курс, публикуван от БНБ за последния работен ден на съответния месец. Към </w:t>
      </w:r>
      <w:r w:rsidRPr="0017792B">
        <w:rPr>
          <w:color w:val="000000"/>
          <w:lang w:val="en-US"/>
        </w:rPr>
        <w:t xml:space="preserve">31 </w:t>
      </w:r>
      <w:r w:rsidRPr="0017792B">
        <w:rPr>
          <w:color w:val="000000"/>
          <w:lang w:val="ru-RU"/>
        </w:rPr>
        <w:t>декември те се оценяват в български лева като се използва заключителният обменен курс на БНБ.</w:t>
      </w:r>
    </w:p>
    <w:p w:rsidR="00423ED3" w:rsidRPr="0017792B" w:rsidRDefault="00423ED3" w:rsidP="00423ED3">
      <w:pPr>
        <w:widowControl w:val="0"/>
        <w:shd w:val="clear" w:color="auto" w:fill="FFFFFF"/>
        <w:autoSpaceDE w:val="0"/>
        <w:autoSpaceDN w:val="0"/>
        <w:adjustRightInd w:val="0"/>
        <w:spacing w:before="120" w:line="276" w:lineRule="auto"/>
        <w:jc w:val="both"/>
        <w:rPr>
          <w:rFonts w:ascii="Arial Narrow" w:hAnsi="Arial Narrow"/>
          <w:color w:val="000000"/>
        </w:rPr>
      </w:pPr>
      <w:r w:rsidRPr="0017792B">
        <w:rPr>
          <w:color w:val="000000"/>
          <w:lang w:val="ru-RU"/>
        </w:rPr>
        <w:t>Немонетарните отчетни обекти в баланса, първоначално деноминирани в чуждестранна валута, се отчитат във функционалната валута като се прилага историческият обменен курс към датата на операцията и последващо не се преоценяват по заключителен</w:t>
      </w:r>
      <w:r w:rsidRPr="0017792B">
        <w:rPr>
          <w:color w:val="000000"/>
        </w:rPr>
        <w:t xml:space="preserve"> курс</w:t>
      </w:r>
      <w:r w:rsidRPr="0017792B">
        <w:rPr>
          <w:rFonts w:ascii="Arial Narrow" w:hAnsi="Arial Narrow"/>
          <w:color w:val="000000"/>
        </w:rPr>
        <w:t>.</w:t>
      </w:r>
    </w:p>
    <w:p w:rsidR="00423ED3" w:rsidRPr="0017792B" w:rsidRDefault="00423ED3" w:rsidP="00423ED3">
      <w:pPr>
        <w:autoSpaceDE w:val="0"/>
        <w:autoSpaceDN w:val="0"/>
        <w:adjustRightInd w:val="0"/>
        <w:jc w:val="both"/>
        <w:rPr>
          <w:rFonts w:ascii="Arial Narrow" w:hAnsi="Arial Narrow"/>
          <w:szCs w:val="22"/>
        </w:rPr>
      </w:pPr>
    </w:p>
    <w:p w:rsidR="00423ED3" w:rsidRPr="0017792B" w:rsidRDefault="00423ED3" w:rsidP="00423ED3">
      <w:pPr>
        <w:jc w:val="both"/>
        <w:rPr>
          <w:rFonts w:ascii="Arial Narrow" w:hAnsi="Arial Narrow"/>
        </w:rPr>
      </w:pPr>
    </w:p>
    <w:p w:rsidR="00423ED3" w:rsidRPr="0017792B" w:rsidRDefault="00423ED3" w:rsidP="00423ED3">
      <w:pPr>
        <w:keepNext/>
        <w:numPr>
          <w:ilvl w:val="0"/>
          <w:numId w:val="1"/>
        </w:numPr>
        <w:autoSpaceDE w:val="0"/>
        <w:autoSpaceDN w:val="0"/>
        <w:adjustRightInd w:val="0"/>
        <w:outlineLvl w:val="0"/>
        <w:rPr>
          <w:rFonts w:ascii="Arial Narrow" w:hAnsi="Arial Narrow"/>
          <w:b/>
          <w:bCs/>
          <w:szCs w:val="40"/>
        </w:rPr>
      </w:pPr>
      <w:r w:rsidRPr="0017792B">
        <w:rPr>
          <w:rFonts w:ascii="Arial Narrow" w:hAnsi="Arial Narrow"/>
          <w:b/>
          <w:bCs/>
          <w:szCs w:val="19"/>
        </w:rPr>
        <w:t>Счетоводна политика</w:t>
      </w:r>
    </w:p>
    <w:p w:rsidR="00423ED3" w:rsidRPr="0017792B" w:rsidRDefault="00423ED3" w:rsidP="00423ED3">
      <w:pPr>
        <w:keepNext/>
        <w:numPr>
          <w:ilvl w:val="1"/>
          <w:numId w:val="1"/>
        </w:numPr>
        <w:autoSpaceDE w:val="0"/>
        <w:autoSpaceDN w:val="0"/>
        <w:adjustRightInd w:val="0"/>
        <w:spacing w:line="360" w:lineRule="auto"/>
        <w:outlineLvl w:val="1"/>
        <w:rPr>
          <w:rFonts w:ascii="Arial Narrow" w:hAnsi="Arial Narrow"/>
          <w:b/>
          <w:bCs/>
          <w:szCs w:val="19"/>
        </w:rPr>
      </w:pPr>
      <w:r w:rsidRPr="0017792B">
        <w:rPr>
          <w:rFonts w:ascii="Arial Narrow" w:hAnsi="Arial Narrow"/>
          <w:b/>
          <w:bCs/>
          <w:szCs w:val="19"/>
        </w:rPr>
        <w:t>Общи положения</w:t>
      </w:r>
    </w:p>
    <w:p w:rsidR="00423ED3" w:rsidRPr="0017792B" w:rsidRDefault="00423ED3" w:rsidP="00423ED3">
      <w:pPr>
        <w:autoSpaceDE w:val="0"/>
        <w:autoSpaceDN w:val="0"/>
        <w:adjustRightInd w:val="0"/>
        <w:jc w:val="both"/>
        <w:rPr>
          <w:rFonts w:ascii="Arial Narrow" w:hAnsi="Arial Narrow"/>
          <w:szCs w:val="22"/>
        </w:rPr>
      </w:pPr>
    </w:p>
    <w:p w:rsidR="00423ED3" w:rsidRPr="0017792B" w:rsidRDefault="00423ED3" w:rsidP="00423ED3">
      <w:pPr>
        <w:autoSpaceDE w:val="0"/>
        <w:autoSpaceDN w:val="0"/>
        <w:adjustRightInd w:val="0"/>
        <w:jc w:val="both"/>
        <w:rPr>
          <w:rFonts w:ascii="Arial Narrow" w:hAnsi="Arial Narrow"/>
          <w:szCs w:val="22"/>
        </w:rPr>
      </w:pPr>
      <w:r w:rsidRPr="0017792B">
        <w:rPr>
          <w:rFonts w:ascii="Arial Narrow" w:hAnsi="Arial Narrow"/>
          <w:szCs w:val="22"/>
        </w:rPr>
        <w:t>Най-значимите счетоводни политики, прилагани при изготвянето на тези финансови отчети, са представени по-долу.</w:t>
      </w:r>
    </w:p>
    <w:p w:rsidR="00423ED3" w:rsidRPr="0017792B" w:rsidRDefault="00423ED3" w:rsidP="00423ED3">
      <w:pPr>
        <w:autoSpaceDE w:val="0"/>
        <w:autoSpaceDN w:val="0"/>
        <w:adjustRightInd w:val="0"/>
        <w:jc w:val="both"/>
        <w:rPr>
          <w:rFonts w:ascii="Arial Narrow" w:hAnsi="Arial Narrow"/>
          <w:szCs w:val="22"/>
        </w:rPr>
      </w:pPr>
    </w:p>
    <w:p w:rsidR="00423ED3" w:rsidRPr="0017792B" w:rsidRDefault="00423ED3" w:rsidP="00423ED3">
      <w:pPr>
        <w:autoSpaceDE w:val="0"/>
        <w:autoSpaceDN w:val="0"/>
        <w:adjustRightInd w:val="0"/>
        <w:jc w:val="both"/>
        <w:rPr>
          <w:rFonts w:ascii="Arial Narrow" w:hAnsi="Arial Narrow"/>
          <w:bCs/>
          <w:szCs w:val="20"/>
        </w:rPr>
      </w:pPr>
      <w:r w:rsidRPr="0017792B">
        <w:rPr>
          <w:rFonts w:ascii="Arial Narrow" w:hAnsi="Arial Narrow"/>
          <w:bCs/>
          <w:szCs w:val="20"/>
        </w:rPr>
        <w:t xml:space="preserve">Финансовите отчети са изготвени при спазване на принципите за оценка за всеки вид активи, пасиви, приходи и разходи съгласно МСФО. Базите за оценка са оповестени подробно по-нататък в счетоводната политика към финансовите отчети. Финансовите отчети са изготвени при спазване на принципа  на действащо предприятие. </w:t>
      </w:r>
    </w:p>
    <w:p w:rsidR="00423ED3" w:rsidRPr="0017792B" w:rsidRDefault="00423ED3" w:rsidP="00423ED3">
      <w:pPr>
        <w:autoSpaceDE w:val="0"/>
        <w:autoSpaceDN w:val="0"/>
        <w:adjustRightInd w:val="0"/>
        <w:jc w:val="both"/>
        <w:rPr>
          <w:rFonts w:ascii="Arial Narrow" w:hAnsi="Arial Narrow"/>
          <w:szCs w:val="22"/>
        </w:rPr>
      </w:pPr>
    </w:p>
    <w:p w:rsidR="00423ED3" w:rsidRPr="0017792B" w:rsidRDefault="00423ED3" w:rsidP="00423ED3">
      <w:pPr>
        <w:autoSpaceDE w:val="0"/>
        <w:autoSpaceDN w:val="0"/>
        <w:adjustRightInd w:val="0"/>
        <w:jc w:val="both"/>
        <w:rPr>
          <w:rFonts w:ascii="Arial Narrow" w:hAnsi="Arial Narrow"/>
          <w:szCs w:val="22"/>
        </w:rPr>
      </w:pPr>
      <w:r w:rsidRPr="0017792B">
        <w:rPr>
          <w:rFonts w:ascii="Arial Narrow" w:hAnsi="Arial Narrow"/>
          <w:szCs w:val="22"/>
        </w:rPr>
        <w:t>Следва да се отбележи, че при изготвянето на представените финансови отчети са използвани счетоводни оценки и допускания. Въпреки че те са базирани на информация, предоставена на ръководството към датата на изготвяне на финансовите отчети, реалните резултати могат да се различават от направените оценки и допускания.</w:t>
      </w:r>
    </w:p>
    <w:p w:rsidR="00423ED3" w:rsidRPr="0017792B" w:rsidRDefault="00423ED3" w:rsidP="00423ED3">
      <w:pPr>
        <w:jc w:val="both"/>
        <w:rPr>
          <w:rFonts w:ascii="Arial Narrow" w:hAnsi="Arial Narrow"/>
        </w:rPr>
      </w:pPr>
    </w:p>
    <w:p w:rsidR="00423ED3" w:rsidRPr="0017792B" w:rsidRDefault="00423ED3" w:rsidP="00423ED3">
      <w:pPr>
        <w:autoSpaceDE w:val="0"/>
        <w:autoSpaceDN w:val="0"/>
        <w:adjustRightInd w:val="0"/>
        <w:rPr>
          <w:rFonts w:ascii="Arial Narrow" w:hAnsi="Arial Narrow"/>
          <w:szCs w:val="22"/>
        </w:rPr>
      </w:pPr>
    </w:p>
    <w:p w:rsidR="00423ED3" w:rsidRPr="0017792B" w:rsidRDefault="00423ED3" w:rsidP="00423ED3">
      <w:pPr>
        <w:keepNext/>
        <w:numPr>
          <w:ilvl w:val="1"/>
          <w:numId w:val="1"/>
        </w:numPr>
        <w:autoSpaceDE w:val="0"/>
        <w:autoSpaceDN w:val="0"/>
        <w:adjustRightInd w:val="0"/>
        <w:spacing w:line="360" w:lineRule="auto"/>
        <w:outlineLvl w:val="1"/>
        <w:rPr>
          <w:rFonts w:ascii="Arial Narrow" w:hAnsi="Arial Narrow"/>
          <w:b/>
          <w:bCs/>
          <w:szCs w:val="22"/>
        </w:rPr>
      </w:pPr>
      <w:r w:rsidRPr="0017792B">
        <w:rPr>
          <w:rFonts w:ascii="Arial Narrow" w:hAnsi="Arial Narrow"/>
          <w:b/>
          <w:bCs/>
          <w:szCs w:val="22"/>
        </w:rPr>
        <w:t>Сделки в чуждестранна валута</w:t>
      </w:r>
    </w:p>
    <w:p w:rsidR="00423ED3" w:rsidRPr="0017792B" w:rsidRDefault="00423ED3" w:rsidP="00423ED3">
      <w:pPr>
        <w:jc w:val="both"/>
        <w:rPr>
          <w:rFonts w:ascii="Arial Narrow" w:hAnsi="Arial Narrow"/>
          <w:szCs w:val="22"/>
        </w:rPr>
      </w:pPr>
      <w:r w:rsidRPr="0017792B">
        <w:rPr>
          <w:rFonts w:ascii="Arial Narrow" w:hAnsi="Arial Narrow"/>
          <w:bCs/>
        </w:rPr>
        <w:t xml:space="preserve">Отделните елементи на финансовите отчети на Дружеството се оценяват във валутата на основната икономическа среда, в която предприятието извършва дейността си (“функционална валута”). </w:t>
      </w:r>
      <w:r w:rsidRPr="0017792B">
        <w:rPr>
          <w:rFonts w:ascii="Arial Narrow" w:hAnsi="Arial Narrow"/>
          <w:szCs w:val="22"/>
        </w:rPr>
        <w:t>Финансовите отчети на Дружеството са изготвени в български лева (</w:t>
      </w:r>
      <w:proofErr w:type="spellStart"/>
      <w:r w:rsidRPr="0017792B">
        <w:rPr>
          <w:rFonts w:ascii="Arial Narrow" w:hAnsi="Arial Narrow"/>
          <w:szCs w:val="22"/>
        </w:rPr>
        <w:t>лв</w:t>
      </w:r>
      <w:proofErr w:type="spellEnd"/>
      <w:r w:rsidRPr="0017792B">
        <w:rPr>
          <w:rFonts w:ascii="Arial Narrow" w:hAnsi="Arial Narrow"/>
          <w:szCs w:val="22"/>
        </w:rPr>
        <w:t xml:space="preserve">). </w:t>
      </w:r>
      <w:r w:rsidRPr="0017792B">
        <w:rPr>
          <w:rFonts w:ascii="Arial Narrow" w:hAnsi="Arial Narrow"/>
          <w:bCs/>
        </w:rPr>
        <w:t xml:space="preserve">Това е функционалната </w:t>
      </w:r>
      <w:r w:rsidRPr="0017792B">
        <w:rPr>
          <w:rFonts w:ascii="Arial Narrow" w:hAnsi="Arial Narrow"/>
          <w:iCs/>
          <w:spacing w:val="-2"/>
        </w:rPr>
        <w:t>валута</w:t>
      </w:r>
      <w:r w:rsidRPr="0017792B">
        <w:rPr>
          <w:rFonts w:ascii="Arial Narrow" w:hAnsi="Arial Narrow"/>
          <w:bCs/>
        </w:rPr>
        <w:t xml:space="preserve"> и </w:t>
      </w:r>
      <w:r w:rsidRPr="0017792B">
        <w:rPr>
          <w:rFonts w:ascii="Arial Narrow" w:hAnsi="Arial Narrow"/>
          <w:iCs/>
          <w:spacing w:val="-2"/>
        </w:rPr>
        <w:t>валутата на представяне</w:t>
      </w:r>
      <w:r w:rsidRPr="0017792B">
        <w:rPr>
          <w:rFonts w:ascii="Arial Narrow" w:hAnsi="Arial Narrow"/>
          <w:bCs/>
        </w:rPr>
        <w:t xml:space="preserve"> на Дружеството.</w:t>
      </w:r>
    </w:p>
    <w:p w:rsidR="00423ED3" w:rsidRPr="0017792B" w:rsidRDefault="00423ED3" w:rsidP="00423ED3">
      <w:pPr>
        <w:autoSpaceDE w:val="0"/>
        <w:autoSpaceDN w:val="0"/>
        <w:adjustRightInd w:val="0"/>
        <w:jc w:val="both"/>
        <w:rPr>
          <w:rFonts w:ascii="Arial Narrow" w:hAnsi="Arial Narrow"/>
          <w:szCs w:val="22"/>
        </w:rPr>
      </w:pPr>
    </w:p>
    <w:p w:rsidR="00423ED3" w:rsidRPr="0017792B" w:rsidRDefault="00423ED3" w:rsidP="00423ED3">
      <w:pPr>
        <w:autoSpaceDE w:val="0"/>
        <w:autoSpaceDN w:val="0"/>
        <w:adjustRightInd w:val="0"/>
        <w:jc w:val="both"/>
        <w:rPr>
          <w:rFonts w:ascii="Arial Narrow" w:hAnsi="Arial Narrow"/>
          <w:szCs w:val="22"/>
        </w:rPr>
      </w:pPr>
      <w:r w:rsidRPr="0017792B">
        <w:rPr>
          <w:rFonts w:ascii="Arial Narrow" w:hAnsi="Arial Narrow"/>
          <w:szCs w:val="22"/>
        </w:rPr>
        <w:t xml:space="preserve">Сделките в чуждестранна валута се отчитат при първоначалното им признаване във функционалната валута на Дружеството по официалния обменен курс за деня на сделката, (обявения фиксинг на Българска народна банка). Приходите и разходите от курсови разлики, които </w:t>
      </w:r>
      <w:r w:rsidRPr="0017792B">
        <w:rPr>
          <w:rFonts w:ascii="Arial Narrow" w:hAnsi="Arial Narrow"/>
          <w:szCs w:val="22"/>
        </w:rPr>
        <w:lastRenderedPageBreak/>
        <w:t>възникват при уреждането на тези сделки и преоценяването на паричните позиции в чуждестранна валута в края на периода, са отразени в Отчета за доходите.</w:t>
      </w:r>
    </w:p>
    <w:p w:rsidR="00423ED3" w:rsidRPr="0017792B" w:rsidRDefault="00423ED3" w:rsidP="00423ED3">
      <w:pPr>
        <w:autoSpaceDE w:val="0"/>
        <w:autoSpaceDN w:val="0"/>
        <w:adjustRightInd w:val="0"/>
        <w:jc w:val="both"/>
        <w:rPr>
          <w:rFonts w:ascii="Arial Narrow" w:hAnsi="Arial Narrow"/>
          <w:szCs w:val="22"/>
        </w:rPr>
      </w:pPr>
    </w:p>
    <w:p w:rsidR="00423ED3" w:rsidRPr="0017792B" w:rsidRDefault="00423ED3" w:rsidP="00423ED3">
      <w:pPr>
        <w:keepNext/>
        <w:numPr>
          <w:ilvl w:val="1"/>
          <w:numId w:val="1"/>
        </w:numPr>
        <w:autoSpaceDE w:val="0"/>
        <w:autoSpaceDN w:val="0"/>
        <w:adjustRightInd w:val="0"/>
        <w:spacing w:line="360" w:lineRule="auto"/>
        <w:outlineLvl w:val="1"/>
        <w:rPr>
          <w:rFonts w:ascii="Arial Narrow" w:hAnsi="Arial Narrow"/>
          <w:b/>
          <w:bCs/>
          <w:szCs w:val="22"/>
        </w:rPr>
      </w:pPr>
      <w:r w:rsidRPr="0017792B">
        <w:rPr>
          <w:rFonts w:ascii="Arial Narrow" w:hAnsi="Arial Narrow"/>
          <w:b/>
          <w:bCs/>
          <w:szCs w:val="22"/>
        </w:rPr>
        <w:t>Приходи и разходи</w:t>
      </w:r>
    </w:p>
    <w:p w:rsidR="00423ED3" w:rsidRPr="0017792B" w:rsidRDefault="00423ED3" w:rsidP="00423ED3">
      <w:pPr>
        <w:autoSpaceDE w:val="0"/>
        <w:autoSpaceDN w:val="0"/>
        <w:adjustRightInd w:val="0"/>
        <w:jc w:val="both"/>
        <w:rPr>
          <w:rFonts w:ascii="Arial Narrow" w:hAnsi="Arial Narrow"/>
          <w:szCs w:val="22"/>
        </w:rPr>
      </w:pPr>
    </w:p>
    <w:p w:rsidR="00423ED3" w:rsidRPr="006D7493" w:rsidRDefault="00423ED3" w:rsidP="00423ED3">
      <w:pPr>
        <w:autoSpaceDE w:val="0"/>
        <w:autoSpaceDN w:val="0"/>
        <w:adjustRightInd w:val="0"/>
        <w:jc w:val="both"/>
        <w:rPr>
          <w:rFonts w:ascii="Arial Narrow" w:hAnsi="Arial Narrow"/>
          <w:lang w:val="en-US"/>
        </w:rPr>
      </w:pPr>
      <w:r w:rsidRPr="0017792B">
        <w:rPr>
          <w:rFonts w:ascii="Arial Narrow" w:hAnsi="Arial Narrow"/>
        </w:rPr>
        <w:t>Приходите включват приходи от продажба на стоки и предоставяне на услуги. Приходите от основните продукти и услуги са представени в Пояснение</w:t>
      </w:r>
      <w:r>
        <w:rPr>
          <w:rFonts w:ascii="Arial Narrow" w:hAnsi="Arial Narrow"/>
          <w:lang w:val="en-US"/>
        </w:rPr>
        <w:t>.</w:t>
      </w:r>
    </w:p>
    <w:p w:rsidR="00423ED3" w:rsidRPr="0017792B" w:rsidRDefault="00423ED3" w:rsidP="00423ED3">
      <w:pPr>
        <w:autoSpaceDE w:val="0"/>
        <w:autoSpaceDN w:val="0"/>
        <w:adjustRightInd w:val="0"/>
        <w:jc w:val="both"/>
        <w:rPr>
          <w:rFonts w:ascii="Arial Narrow" w:hAnsi="Arial Narrow"/>
          <w:szCs w:val="22"/>
        </w:rPr>
      </w:pPr>
    </w:p>
    <w:p w:rsidR="00423ED3" w:rsidRPr="0017792B" w:rsidRDefault="00423ED3" w:rsidP="00423ED3">
      <w:pPr>
        <w:autoSpaceDE w:val="0"/>
        <w:autoSpaceDN w:val="0"/>
        <w:adjustRightInd w:val="0"/>
        <w:jc w:val="both"/>
        <w:rPr>
          <w:rFonts w:ascii="Arial Narrow" w:hAnsi="Arial Narrow"/>
          <w:szCs w:val="22"/>
        </w:rPr>
      </w:pPr>
      <w:r w:rsidRPr="0017792B">
        <w:rPr>
          <w:rFonts w:ascii="Arial Narrow" w:hAnsi="Arial Narrow"/>
          <w:szCs w:val="22"/>
        </w:rPr>
        <w:t xml:space="preserve">Приходите се оценяват по справедлива стойност на полученото или подлежащото на получаване плащане или възмездяване, като се отчита сумата на всички търговски отстъпки и количествени </w:t>
      </w:r>
      <w:proofErr w:type="spellStart"/>
      <w:r w:rsidRPr="0017792B">
        <w:rPr>
          <w:rFonts w:ascii="Arial Narrow" w:hAnsi="Arial Narrow"/>
          <w:szCs w:val="22"/>
        </w:rPr>
        <w:t>рабати</w:t>
      </w:r>
      <w:proofErr w:type="spellEnd"/>
      <w:r w:rsidRPr="0017792B">
        <w:rPr>
          <w:rFonts w:ascii="Arial Narrow" w:hAnsi="Arial Narrow"/>
          <w:szCs w:val="22"/>
        </w:rPr>
        <w:t xml:space="preserve">, направени от Дружеството. </w:t>
      </w:r>
    </w:p>
    <w:p w:rsidR="00423ED3" w:rsidRPr="0017792B" w:rsidRDefault="00423ED3" w:rsidP="00423ED3">
      <w:pPr>
        <w:autoSpaceDE w:val="0"/>
        <w:autoSpaceDN w:val="0"/>
        <w:adjustRightInd w:val="0"/>
        <w:jc w:val="both"/>
        <w:rPr>
          <w:rFonts w:ascii="Arial Narrow" w:hAnsi="Arial Narrow"/>
          <w:szCs w:val="22"/>
        </w:rPr>
      </w:pPr>
    </w:p>
    <w:p w:rsidR="00423ED3" w:rsidRPr="0017792B" w:rsidRDefault="00423ED3" w:rsidP="00423ED3">
      <w:pPr>
        <w:autoSpaceDE w:val="0"/>
        <w:autoSpaceDN w:val="0"/>
        <w:adjustRightInd w:val="0"/>
        <w:jc w:val="both"/>
        <w:rPr>
          <w:rFonts w:ascii="Arial Narrow" w:hAnsi="Arial Narrow"/>
          <w:szCs w:val="22"/>
        </w:rPr>
      </w:pPr>
      <w:r w:rsidRPr="0017792B">
        <w:rPr>
          <w:rFonts w:ascii="Arial Narrow" w:hAnsi="Arial Narrow"/>
          <w:szCs w:val="22"/>
        </w:rPr>
        <w:t>При продажба на стоки, приходът се признава, когато са изпълнени следните условия:</w:t>
      </w:r>
    </w:p>
    <w:p w:rsidR="00423ED3" w:rsidRPr="0017792B" w:rsidRDefault="00423ED3" w:rsidP="00423ED3">
      <w:pPr>
        <w:numPr>
          <w:ilvl w:val="0"/>
          <w:numId w:val="3"/>
        </w:numPr>
        <w:autoSpaceDE w:val="0"/>
        <w:autoSpaceDN w:val="0"/>
        <w:adjustRightInd w:val="0"/>
        <w:jc w:val="both"/>
        <w:rPr>
          <w:rFonts w:ascii="Arial Narrow" w:hAnsi="Arial Narrow"/>
          <w:szCs w:val="22"/>
        </w:rPr>
      </w:pPr>
      <w:r w:rsidRPr="0017792B">
        <w:rPr>
          <w:rFonts w:ascii="Arial Narrow" w:hAnsi="Arial Narrow"/>
          <w:szCs w:val="22"/>
        </w:rPr>
        <w:t>значителните рискове и ползи от собствеността върху стоките са прехвърлени върху купувача;</w:t>
      </w:r>
    </w:p>
    <w:p w:rsidR="00423ED3" w:rsidRPr="0017792B" w:rsidRDefault="00423ED3" w:rsidP="00423ED3">
      <w:pPr>
        <w:numPr>
          <w:ilvl w:val="0"/>
          <w:numId w:val="3"/>
        </w:numPr>
        <w:autoSpaceDE w:val="0"/>
        <w:autoSpaceDN w:val="0"/>
        <w:adjustRightInd w:val="0"/>
        <w:jc w:val="both"/>
        <w:rPr>
          <w:rFonts w:ascii="Arial Narrow" w:hAnsi="Arial Narrow"/>
          <w:szCs w:val="22"/>
        </w:rPr>
      </w:pPr>
      <w:r w:rsidRPr="0017792B">
        <w:rPr>
          <w:rFonts w:ascii="Arial Narrow" w:hAnsi="Arial Narrow"/>
          <w:szCs w:val="22"/>
        </w:rPr>
        <w:t>не е запазено продължаващо участие в управлението на стоките или ефективен контрол върху тях;</w:t>
      </w:r>
    </w:p>
    <w:p w:rsidR="00423ED3" w:rsidRPr="0017792B" w:rsidRDefault="00423ED3" w:rsidP="00423ED3">
      <w:pPr>
        <w:numPr>
          <w:ilvl w:val="0"/>
          <w:numId w:val="3"/>
        </w:numPr>
        <w:autoSpaceDE w:val="0"/>
        <w:autoSpaceDN w:val="0"/>
        <w:adjustRightInd w:val="0"/>
        <w:jc w:val="both"/>
        <w:rPr>
          <w:rFonts w:ascii="Arial Narrow" w:hAnsi="Arial Narrow"/>
          <w:szCs w:val="22"/>
        </w:rPr>
      </w:pPr>
      <w:r w:rsidRPr="0017792B">
        <w:rPr>
          <w:rFonts w:ascii="Arial Narrow" w:hAnsi="Arial Narrow"/>
          <w:szCs w:val="22"/>
        </w:rPr>
        <w:t>сумата на прихода може да бъде надеждно оценена;</w:t>
      </w:r>
    </w:p>
    <w:p w:rsidR="00423ED3" w:rsidRPr="0017792B" w:rsidRDefault="00423ED3" w:rsidP="00423ED3">
      <w:pPr>
        <w:numPr>
          <w:ilvl w:val="0"/>
          <w:numId w:val="3"/>
        </w:numPr>
        <w:autoSpaceDE w:val="0"/>
        <w:autoSpaceDN w:val="0"/>
        <w:adjustRightInd w:val="0"/>
        <w:jc w:val="both"/>
        <w:rPr>
          <w:rFonts w:ascii="Arial Narrow" w:hAnsi="Arial Narrow"/>
          <w:szCs w:val="22"/>
        </w:rPr>
      </w:pPr>
      <w:r w:rsidRPr="0017792B">
        <w:rPr>
          <w:rFonts w:ascii="Arial Narrow" w:hAnsi="Arial Narrow"/>
          <w:szCs w:val="22"/>
        </w:rPr>
        <w:t>вероятно е икономическите изгоди от сделката да бъдат получени;</w:t>
      </w:r>
    </w:p>
    <w:p w:rsidR="00423ED3" w:rsidRPr="0017792B" w:rsidRDefault="00423ED3" w:rsidP="00423ED3">
      <w:pPr>
        <w:numPr>
          <w:ilvl w:val="0"/>
          <w:numId w:val="3"/>
        </w:numPr>
        <w:autoSpaceDE w:val="0"/>
        <w:autoSpaceDN w:val="0"/>
        <w:adjustRightInd w:val="0"/>
        <w:jc w:val="both"/>
        <w:rPr>
          <w:rFonts w:ascii="Arial Narrow" w:hAnsi="Arial Narrow"/>
          <w:szCs w:val="22"/>
        </w:rPr>
      </w:pPr>
      <w:r w:rsidRPr="0017792B">
        <w:rPr>
          <w:rFonts w:ascii="Arial Narrow" w:hAnsi="Arial Narrow"/>
          <w:szCs w:val="22"/>
        </w:rPr>
        <w:t xml:space="preserve">направените разходи или тези, които предстои да бъдат направени могат надеждно да бъдат оценени. </w:t>
      </w:r>
    </w:p>
    <w:p w:rsidR="00423ED3" w:rsidRPr="0017792B" w:rsidRDefault="00423ED3" w:rsidP="00423ED3">
      <w:pPr>
        <w:autoSpaceDE w:val="0"/>
        <w:autoSpaceDN w:val="0"/>
        <w:adjustRightInd w:val="0"/>
        <w:jc w:val="both"/>
        <w:rPr>
          <w:rFonts w:ascii="Arial Narrow" w:hAnsi="Arial Narrow"/>
          <w:szCs w:val="22"/>
        </w:rPr>
      </w:pPr>
    </w:p>
    <w:p w:rsidR="00423ED3" w:rsidRPr="0017792B" w:rsidRDefault="00423ED3" w:rsidP="00423ED3">
      <w:pPr>
        <w:autoSpaceDE w:val="0"/>
        <w:autoSpaceDN w:val="0"/>
        <w:adjustRightInd w:val="0"/>
        <w:jc w:val="both"/>
        <w:rPr>
          <w:rFonts w:ascii="Arial Narrow" w:hAnsi="Arial Narrow"/>
          <w:szCs w:val="22"/>
        </w:rPr>
      </w:pPr>
      <w:r w:rsidRPr="0017792B">
        <w:rPr>
          <w:rFonts w:ascii="Arial Narrow" w:hAnsi="Arial Narrow"/>
          <w:szCs w:val="22"/>
        </w:rPr>
        <w:t xml:space="preserve">Приходът, свързан със сделка по предоставяне на услуги, се признава, когато резултатът от сделката може надеждно да се оцени.  </w:t>
      </w:r>
    </w:p>
    <w:p w:rsidR="00423ED3" w:rsidRPr="0017792B" w:rsidRDefault="00423ED3" w:rsidP="00423ED3">
      <w:pPr>
        <w:autoSpaceDE w:val="0"/>
        <w:autoSpaceDN w:val="0"/>
        <w:adjustRightInd w:val="0"/>
        <w:jc w:val="both"/>
        <w:rPr>
          <w:rFonts w:ascii="Arial Narrow" w:hAnsi="Arial Narrow"/>
          <w:szCs w:val="22"/>
        </w:rPr>
      </w:pPr>
    </w:p>
    <w:p w:rsidR="00423ED3" w:rsidRPr="0017792B" w:rsidRDefault="00423ED3" w:rsidP="00423ED3">
      <w:pPr>
        <w:autoSpaceDE w:val="0"/>
        <w:autoSpaceDN w:val="0"/>
        <w:adjustRightInd w:val="0"/>
        <w:jc w:val="both"/>
        <w:rPr>
          <w:rFonts w:ascii="Arial Narrow" w:hAnsi="Arial Narrow"/>
          <w:color w:val="FF0000"/>
          <w:szCs w:val="22"/>
        </w:rPr>
      </w:pPr>
      <w:r w:rsidRPr="0017792B">
        <w:rPr>
          <w:rFonts w:ascii="Arial Narrow" w:hAnsi="Arial Narrow"/>
          <w:szCs w:val="22"/>
        </w:rPr>
        <w:t>Печалбата или загубата от отписване на даден актив се определя като разлика между постъпленията и балансовата стойност на актива и се отразява в Отчета за доходите. Печалбите или загубите в резултат на продажба на нетекущи активи са отразени в Отчета за доходите на ред „печалба / (загуба) от продажба на нетекущи активи”.</w:t>
      </w:r>
      <w:r w:rsidRPr="0017792B">
        <w:rPr>
          <w:rFonts w:ascii="Arial Narrow" w:hAnsi="Arial Narrow"/>
          <w:color w:val="FF0000"/>
          <w:szCs w:val="22"/>
        </w:rPr>
        <w:t xml:space="preserve"> </w:t>
      </w:r>
    </w:p>
    <w:p w:rsidR="00423ED3" w:rsidRPr="0017792B" w:rsidRDefault="00423ED3" w:rsidP="00423ED3">
      <w:pPr>
        <w:autoSpaceDE w:val="0"/>
        <w:autoSpaceDN w:val="0"/>
        <w:adjustRightInd w:val="0"/>
        <w:jc w:val="both"/>
        <w:rPr>
          <w:rFonts w:ascii="Arial Narrow" w:hAnsi="Arial Narrow"/>
          <w:szCs w:val="22"/>
        </w:rPr>
      </w:pPr>
    </w:p>
    <w:p w:rsidR="00423ED3" w:rsidRPr="0017792B" w:rsidRDefault="00423ED3" w:rsidP="00423ED3">
      <w:pPr>
        <w:autoSpaceDE w:val="0"/>
        <w:autoSpaceDN w:val="0"/>
        <w:adjustRightInd w:val="0"/>
        <w:jc w:val="both"/>
        <w:rPr>
          <w:rFonts w:ascii="Arial Narrow" w:hAnsi="Arial Narrow"/>
          <w:szCs w:val="22"/>
          <w:lang w:val="ru-RU"/>
        </w:rPr>
      </w:pPr>
      <w:r w:rsidRPr="0017792B">
        <w:rPr>
          <w:rFonts w:ascii="Arial Narrow" w:hAnsi="Arial Narrow"/>
          <w:szCs w:val="22"/>
        </w:rPr>
        <w:t xml:space="preserve">Приходи и разходи за лихви се отчитат на принципа на начислението.  </w:t>
      </w:r>
    </w:p>
    <w:p w:rsidR="00423ED3" w:rsidRPr="0017792B" w:rsidRDefault="00423ED3" w:rsidP="00423ED3">
      <w:pPr>
        <w:autoSpaceDE w:val="0"/>
        <w:autoSpaceDN w:val="0"/>
        <w:adjustRightInd w:val="0"/>
        <w:jc w:val="both"/>
        <w:rPr>
          <w:rFonts w:ascii="Arial Narrow" w:hAnsi="Arial Narrow"/>
          <w:szCs w:val="22"/>
        </w:rPr>
      </w:pPr>
    </w:p>
    <w:p w:rsidR="00423ED3" w:rsidRPr="0017792B" w:rsidRDefault="00423ED3" w:rsidP="00423ED3">
      <w:pPr>
        <w:autoSpaceDE w:val="0"/>
        <w:autoSpaceDN w:val="0"/>
        <w:adjustRightInd w:val="0"/>
        <w:jc w:val="both"/>
        <w:rPr>
          <w:rFonts w:ascii="Arial Narrow" w:hAnsi="Arial Narrow"/>
          <w:szCs w:val="22"/>
        </w:rPr>
      </w:pPr>
    </w:p>
    <w:p w:rsidR="00423ED3" w:rsidRPr="0017792B" w:rsidRDefault="00423ED3" w:rsidP="00423ED3">
      <w:pPr>
        <w:keepNext/>
        <w:numPr>
          <w:ilvl w:val="1"/>
          <w:numId w:val="1"/>
        </w:numPr>
        <w:autoSpaceDE w:val="0"/>
        <w:autoSpaceDN w:val="0"/>
        <w:adjustRightInd w:val="0"/>
        <w:spacing w:line="360" w:lineRule="auto"/>
        <w:outlineLvl w:val="1"/>
        <w:rPr>
          <w:rFonts w:ascii="Arial Narrow" w:hAnsi="Arial Narrow"/>
          <w:b/>
          <w:bCs/>
          <w:color w:val="000000"/>
          <w:szCs w:val="22"/>
        </w:rPr>
      </w:pPr>
      <w:r w:rsidRPr="0017792B">
        <w:rPr>
          <w:rFonts w:ascii="Arial Narrow" w:hAnsi="Arial Narrow"/>
          <w:b/>
          <w:bCs/>
          <w:color w:val="000000"/>
          <w:szCs w:val="22"/>
        </w:rPr>
        <w:t>Разходи по заеми</w:t>
      </w:r>
    </w:p>
    <w:p w:rsidR="00423ED3" w:rsidRPr="0017792B" w:rsidRDefault="00423ED3" w:rsidP="00423ED3">
      <w:pPr>
        <w:autoSpaceDE w:val="0"/>
        <w:autoSpaceDN w:val="0"/>
        <w:adjustRightInd w:val="0"/>
        <w:jc w:val="both"/>
        <w:rPr>
          <w:rFonts w:ascii="Arial Narrow" w:hAnsi="Arial Narrow"/>
          <w:szCs w:val="22"/>
        </w:rPr>
      </w:pPr>
    </w:p>
    <w:p w:rsidR="00423ED3" w:rsidRPr="0017792B" w:rsidRDefault="00423ED3" w:rsidP="00423ED3">
      <w:pPr>
        <w:autoSpaceDE w:val="0"/>
        <w:autoSpaceDN w:val="0"/>
        <w:adjustRightInd w:val="0"/>
        <w:jc w:val="both"/>
        <w:rPr>
          <w:rFonts w:ascii="Arial Narrow" w:hAnsi="Arial Narrow"/>
        </w:rPr>
      </w:pPr>
      <w:r w:rsidRPr="0017792B">
        <w:rPr>
          <w:rFonts w:ascii="Arial Narrow" w:hAnsi="Arial Narrow"/>
        </w:rPr>
        <w:t>Разходите по заеми основно представляват лихви по заемите на Дружеството. Всички разходи по заеми, включително тези, които директно могат да бъдат отнесени към закупуването, строителството на отговарящ на условията актив,  се признават като разход за периода, в който са възникнали като част от „финансови разходи” в Отчета за доходите.</w:t>
      </w:r>
    </w:p>
    <w:p w:rsidR="00423ED3" w:rsidRPr="0017792B" w:rsidRDefault="00423ED3" w:rsidP="00423ED3">
      <w:pPr>
        <w:autoSpaceDE w:val="0"/>
        <w:autoSpaceDN w:val="0"/>
        <w:adjustRightInd w:val="0"/>
        <w:jc w:val="both"/>
        <w:rPr>
          <w:rFonts w:ascii="Arial Narrow" w:hAnsi="Arial Narrow"/>
          <w:szCs w:val="22"/>
        </w:rPr>
      </w:pPr>
    </w:p>
    <w:p w:rsidR="00423ED3" w:rsidRPr="0017792B" w:rsidRDefault="00423ED3" w:rsidP="00423ED3">
      <w:pPr>
        <w:keepNext/>
        <w:numPr>
          <w:ilvl w:val="1"/>
          <w:numId w:val="1"/>
        </w:numPr>
        <w:autoSpaceDE w:val="0"/>
        <w:autoSpaceDN w:val="0"/>
        <w:adjustRightInd w:val="0"/>
        <w:spacing w:line="360" w:lineRule="auto"/>
        <w:outlineLvl w:val="1"/>
        <w:rPr>
          <w:rFonts w:ascii="Arial Narrow" w:hAnsi="Arial Narrow"/>
          <w:b/>
          <w:bCs/>
          <w:szCs w:val="22"/>
        </w:rPr>
      </w:pPr>
      <w:r w:rsidRPr="0017792B">
        <w:rPr>
          <w:rFonts w:ascii="Arial Narrow" w:hAnsi="Arial Narrow"/>
          <w:b/>
          <w:bCs/>
          <w:szCs w:val="22"/>
        </w:rPr>
        <w:t>Нематериални активи</w:t>
      </w:r>
    </w:p>
    <w:p w:rsidR="00423ED3" w:rsidRPr="0017792B" w:rsidRDefault="00423ED3" w:rsidP="00423ED3">
      <w:pPr>
        <w:rPr>
          <w:rFonts w:ascii="Arial Narrow" w:hAnsi="Arial Narrow"/>
        </w:rPr>
      </w:pPr>
    </w:p>
    <w:p w:rsidR="00423ED3" w:rsidRPr="0017792B" w:rsidRDefault="00423ED3" w:rsidP="00423ED3">
      <w:pPr>
        <w:autoSpaceDE w:val="0"/>
        <w:autoSpaceDN w:val="0"/>
        <w:adjustRightInd w:val="0"/>
        <w:jc w:val="both"/>
        <w:rPr>
          <w:rFonts w:ascii="Arial Narrow" w:hAnsi="Arial Narrow"/>
          <w:bCs/>
          <w:szCs w:val="22"/>
        </w:rPr>
      </w:pPr>
      <w:r w:rsidRPr="0017792B">
        <w:rPr>
          <w:rFonts w:ascii="Arial Narrow" w:hAnsi="Arial Narrow"/>
          <w:bCs/>
          <w:szCs w:val="22"/>
        </w:rPr>
        <w:t xml:space="preserve">Нематериалните активи се оценяват първоначално по себестойност. В случаите на самостоятелно придобиване тя е равна на покупната цена, както и всички невъзстановими данъци и направените преки разходи във връзка с подготовка на актива за експлоатация. </w:t>
      </w:r>
    </w:p>
    <w:p w:rsidR="00423ED3" w:rsidRPr="0017792B" w:rsidRDefault="00423ED3" w:rsidP="00423ED3">
      <w:pPr>
        <w:autoSpaceDE w:val="0"/>
        <w:autoSpaceDN w:val="0"/>
        <w:adjustRightInd w:val="0"/>
        <w:rPr>
          <w:rFonts w:ascii="Arial Narrow" w:hAnsi="Arial Narrow"/>
          <w:b/>
          <w:szCs w:val="22"/>
        </w:rPr>
      </w:pPr>
    </w:p>
    <w:p w:rsidR="00423ED3" w:rsidRPr="0017792B" w:rsidRDefault="00423ED3" w:rsidP="00423ED3">
      <w:pPr>
        <w:autoSpaceDE w:val="0"/>
        <w:autoSpaceDN w:val="0"/>
        <w:adjustRightInd w:val="0"/>
        <w:jc w:val="both"/>
        <w:rPr>
          <w:rFonts w:ascii="Arial Narrow" w:hAnsi="Arial Narrow"/>
          <w:bCs/>
          <w:szCs w:val="22"/>
        </w:rPr>
      </w:pPr>
      <w:proofErr w:type="spellStart"/>
      <w:r w:rsidRPr="0017792B">
        <w:rPr>
          <w:rFonts w:ascii="Arial Narrow" w:hAnsi="Arial Narrow"/>
          <w:bCs/>
          <w:szCs w:val="22"/>
        </w:rPr>
        <w:t>Последващото</w:t>
      </w:r>
      <w:proofErr w:type="spellEnd"/>
      <w:r w:rsidRPr="0017792B">
        <w:rPr>
          <w:rFonts w:ascii="Arial Narrow" w:hAnsi="Arial Narrow"/>
          <w:bCs/>
          <w:szCs w:val="22"/>
        </w:rPr>
        <w:t xml:space="preserve"> оценяване се извършва по цена на придобиване, намалена с натрупаните амортизации и загуби от </w:t>
      </w:r>
      <w:proofErr w:type="spellStart"/>
      <w:r w:rsidRPr="0017792B">
        <w:rPr>
          <w:rFonts w:ascii="Arial Narrow" w:hAnsi="Arial Narrow"/>
          <w:bCs/>
          <w:szCs w:val="22"/>
        </w:rPr>
        <w:t>обезценка</w:t>
      </w:r>
      <w:proofErr w:type="spellEnd"/>
      <w:r w:rsidRPr="0017792B">
        <w:rPr>
          <w:rFonts w:ascii="Arial Narrow" w:hAnsi="Arial Narrow"/>
          <w:bCs/>
          <w:szCs w:val="22"/>
        </w:rPr>
        <w:t xml:space="preserve">. Направените </w:t>
      </w:r>
      <w:proofErr w:type="spellStart"/>
      <w:r w:rsidRPr="0017792B">
        <w:rPr>
          <w:rFonts w:ascii="Arial Narrow" w:hAnsi="Arial Narrow"/>
          <w:bCs/>
          <w:szCs w:val="22"/>
        </w:rPr>
        <w:t>обезценки</w:t>
      </w:r>
      <w:proofErr w:type="spellEnd"/>
      <w:r w:rsidRPr="0017792B">
        <w:rPr>
          <w:rFonts w:ascii="Arial Narrow" w:hAnsi="Arial Narrow"/>
          <w:bCs/>
          <w:szCs w:val="22"/>
        </w:rPr>
        <w:t xml:space="preserve"> се отчитат като разход и се признават в Отчета за доходите за съответния период. </w:t>
      </w:r>
    </w:p>
    <w:p w:rsidR="00423ED3" w:rsidRPr="0017792B" w:rsidRDefault="00423ED3" w:rsidP="00423ED3">
      <w:pPr>
        <w:jc w:val="both"/>
        <w:rPr>
          <w:rFonts w:ascii="Arial Narrow" w:eastAsia="MS Mincho" w:hAnsi="Arial Narrow"/>
          <w:bCs/>
        </w:rPr>
      </w:pPr>
    </w:p>
    <w:p w:rsidR="00423ED3" w:rsidRPr="0017792B" w:rsidRDefault="00423ED3" w:rsidP="00423ED3">
      <w:pPr>
        <w:jc w:val="both"/>
        <w:rPr>
          <w:rFonts w:ascii="Arial Narrow" w:eastAsia="MS Mincho" w:hAnsi="Arial Narrow"/>
        </w:rPr>
      </w:pPr>
      <w:proofErr w:type="spellStart"/>
      <w:r w:rsidRPr="0017792B">
        <w:rPr>
          <w:rFonts w:ascii="Arial Narrow" w:eastAsia="MS Mincho" w:hAnsi="Arial Narrow"/>
        </w:rPr>
        <w:t>Последващите</w:t>
      </w:r>
      <w:proofErr w:type="spellEnd"/>
      <w:r w:rsidRPr="0017792B">
        <w:rPr>
          <w:rFonts w:ascii="Arial Narrow" w:eastAsia="MS Mincho" w:hAnsi="Arial Narrow"/>
        </w:rPr>
        <w:t xml:space="preserve"> разходите, които възникват във връзка с нематериалните активи след първоначалното признаване, се признават в Отчета за доходите в периода на тяхното възникване, освен ако има вероятност те да спомогнат на актива да генерира повече от първоначално предвидените бъдещи икономически изгоди и когато тези разходи могат надеждно да бъдат оценени и отнесени към актива. Ако тези две условия са изпълнени, разходите се добавят към себестойността на актива.</w:t>
      </w:r>
    </w:p>
    <w:p w:rsidR="00423ED3" w:rsidRPr="0017792B" w:rsidRDefault="00423ED3" w:rsidP="00423ED3">
      <w:pPr>
        <w:jc w:val="both"/>
        <w:rPr>
          <w:rFonts w:ascii="Arial Narrow" w:eastAsia="MS Mincho" w:hAnsi="Arial Narrow"/>
        </w:rPr>
      </w:pPr>
    </w:p>
    <w:p w:rsidR="00423ED3" w:rsidRPr="0017792B" w:rsidRDefault="00423ED3" w:rsidP="00423ED3">
      <w:pPr>
        <w:jc w:val="both"/>
        <w:rPr>
          <w:rFonts w:ascii="Arial Narrow" w:hAnsi="Arial Narrow"/>
        </w:rPr>
      </w:pPr>
      <w:r w:rsidRPr="0017792B">
        <w:rPr>
          <w:rFonts w:ascii="Arial Narrow" w:hAnsi="Arial Narrow"/>
        </w:rPr>
        <w:t>Амортизацията се изчислява, като се използва линейният метод върху оценения полезен срок на годност на отделните активи, както следва:</w:t>
      </w:r>
    </w:p>
    <w:p w:rsidR="00423ED3" w:rsidRPr="0017792B" w:rsidRDefault="00423ED3" w:rsidP="00423ED3">
      <w:pPr>
        <w:numPr>
          <w:ilvl w:val="0"/>
          <w:numId w:val="2"/>
        </w:numPr>
        <w:autoSpaceDE w:val="0"/>
        <w:autoSpaceDN w:val="0"/>
        <w:adjustRightInd w:val="0"/>
        <w:jc w:val="both"/>
        <w:rPr>
          <w:rFonts w:ascii="Arial Narrow" w:hAnsi="Arial Narrow"/>
          <w:szCs w:val="22"/>
        </w:rPr>
      </w:pPr>
      <w:r w:rsidRPr="0017792B">
        <w:rPr>
          <w:rFonts w:ascii="Arial Narrow" w:hAnsi="Arial Narrow"/>
          <w:szCs w:val="22"/>
        </w:rPr>
        <w:t>софтуер</w:t>
      </w:r>
      <w:r w:rsidRPr="0017792B">
        <w:rPr>
          <w:rFonts w:ascii="Arial Narrow" w:hAnsi="Arial Narrow"/>
          <w:szCs w:val="22"/>
        </w:rPr>
        <w:tab/>
      </w:r>
      <w:r w:rsidRPr="0017792B">
        <w:rPr>
          <w:rFonts w:ascii="Arial Narrow" w:hAnsi="Arial Narrow"/>
          <w:szCs w:val="22"/>
        </w:rPr>
        <w:tab/>
        <w:t>2 години</w:t>
      </w:r>
    </w:p>
    <w:p w:rsidR="00423ED3" w:rsidRPr="0017792B" w:rsidRDefault="00423ED3" w:rsidP="00423ED3">
      <w:pPr>
        <w:numPr>
          <w:ilvl w:val="0"/>
          <w:numId w:val="2"/>
        </w:numPr>
        <w:autoSpaceDE w:val="0"/>
        <w:autoSpaceDN w:val="0"/>
        <w:adjustRightInd w:val="0"/>
        <w:jc w:val="both"/>
        <w:rPr>
          <w:rFonts w:ascii="Arial Narrow" w:hAnsi="Arial Narrow"/>
          <w:szCs w:val="22"/>
        </w:rPr>
      </w:pPr>
      <w:r w:rsidRPr="0017792B">
        <w:rPr>
          <w:rFonts w:ascii="Arial Narrow" w:hAnsi="Arial Narrow"/>
          <w:szCs w:val="22"/>
        </w:rPr>
        <w:t>други</w:t>
      </w:r>
      <w:r w:rsidRPr="0017792B">
        <w:rPr>
          <w:rFonts w:ascii="Arial Narrow" w:hAnsi="Arial Narrow"/>
          <w:szCs w:val="22"/>
        </w:rPr>
        <w:tab/>
      </w:r>
      <w:r w:rsidRPr="0017792B">
        <w:rPr>
          <w:rFonts w:ascii="Arial Narrow" w:hAnsi="Arial Narrow"/>
          <w:szCs w:val="22"/>
        </w:rPr>
        <w:tab/>
        <w:t xml:space="preserve">            6 години и шест месеца </w:t>
      </w:r>
    </w:p>
    <w:p w:rsidR="00423ED3" w:rsidRPr="0017792B" w:rsidRDefault="00423ED3" w:rsidP="00423ED3">
      <w:pPr>
        <w:autoSpaceDE w:val="0"/>
        <w:autoSpaceDN w:val="0"/>
        <w:adjustRightInd w:val="0"/>
        <w:rPr>
          <w:rFonts w:ascii="Arial Narrow" w:hAnsi="Arial Narrow"/>
          <w:color w:val="000000"/>
          <w:szCs w:val="22"/>
          <w:lang w:eastAsia="de-DE"/>
        </w:rPr>
      </w:pPr>
    </w:p>
    <w:p w:rsidR="00423ED3" w:rsidRPr="0017792B" w:rsidRDefault="00423ED3" w:rsidP="00423ED3">
      <w:pPr>
        <w:autoSpaceDE w:val="0"/>
        <w:autoSpaceDN w:val="0"/>
        <w:adjustRightInd w:val="0"/>
        <w:rPr>
          <w:rFonts w:ascii="Arial Narrow" w:hAnsi="Arial Narrow"/>
          <w:szCs w:val="22"/>
          <w:lang w:eastAsia="de-DE"/>
        </w:rPr>
      </w:pPr>
      <w:r w:rsidRPr="0017792B">
        <w:rPr>
          <w:rFonts w:ascii="Arial Narrow" w:hAnsi="Arial Narrow"/>
          <w:color w:val="000000"/>
          <w:szCs w:val="22"/>
          <w:lang w:eastAsia="de-DE"/>
        </w:rPr>
        <w:t>Амортизацията е включена в “</w:t>
      </w:r>
      <w:r w:rsidRPr="0017792B">
        <w:rPr>
          <w:rFonts w:ascii="Arial Narrow" w:hAnsi="Arial Narrow" w:cs="Arial"/>
          <w:color w:val="000000"/>
          <w:szCs w:val="19"/>
        </w:rPr>
        <w:t xml:space="preserve">разходи за </w:t>
      </w:r>
      <w:r w:rsidRPr="0017792B">
        <w:rPr>
          <w:rFonts w:ascii="Arial Narrow" w:hAnsi="Arial Narrow" w:cs="Arial"/>
          <w:szCs w:val="19"/>
        </w:rPr>
        <w:t xml:space="preserve">амортизация и </w:t>
      </w:r>
      <w:proofErr w:type="spellStart"/>
      <w:r w:rsidRPr="0017792B">
        <w:rPr>
          <w:rFonts w:ascii="Arial Narrow" w:hAnsi="Arial Narrow" w:cs="Arial"/>
          <w:szCs w:val="19"/>
        </w:rPr>
        <w:t>обезценка</w:t>
      </w:r>
      <w:proofErr w:type="spellEnd"/>
      <w:r w:rsidRPr="0017792B">
        <w:rPr>
          <w:rFonts w:ascii="Arial Narrow" w:hAnsi="Arial Narrow" w:cs="Arial"/>
          <w:szCs w:val="19"/>
        </w:rPr>
        <w:t xml:space="preserve"> на нефинансови активи</w:t>
      </w:r>
      <w:r w:rsidRPr="0017792B">
        <w:rPr>
          <w:rFonts w:ascii="Arial Narrow" w:hAnsi="Arial Narrow"/>
          <w:szCs w:val="22"/>
          <w:lang w:eastAsia="de-DE"/>
        </w:rPr>
        <w:t>”.</w:t>
      </w:r>
    </w:p>
    <w:p w:rsidR="00423ED3" w:rsidRPr="0017792B" w:rsidRDefault="00423ED3" w:rsidP="00423ED3">
      <w:pPr>
        <w:autoSpaceDE w:val="0"/>
        <w:autoSpaceDN w:val="0"/>
        <w:adjustRightInd w:val="0"/>
        <w:jc w:val="both"/>
        <w:rPr>
          <w:rFonts w:ascii="Arial Narrow" w:hAnsi="Arial Narrow"/>
          <w:szCs w:val="22"/>
        </w:rPr>
      </w:pPr>
    </w:p>
    <w:p w:rsidR="00423ED3" w:rsidRPr="0017792B" w:rsidRDefault="00423ED3" w:rsidP="00423ED3">
      <w:pPr>
        <w:autoSpaceDE w:val="0"/>
        <w:autoSpaceDN w:val="0"/>
        <w:adjustRightInd w:val="0"/>
        <w:jc w:val="both"/>
        <w:rPr>
          <w:rFonts w:ascii="Arial Narrow" w:hAnsi="Arial Narrow"/>
          <w:szCs w:val="22"/>
        </w:rPr>
      </w:pPr>
      <w:r w:rsidRPr="0017792B">
        <w:rPr>
          <w:rFonts w:ascii="Arial Narrow" w:hAnsi="Arial Narrow"/>
          <w:szCs w:val="22"/>
        </w:rPr>
        <w:t>Дружеството извършва внимателна преценка, когато определя дали критериите за първоначално признаване като актив на разходите по разработването са били спазени. Преценката на ръководството е базирана на цялата налична информация към датата на баланса. В допълнение всички дейности, свързани с разработването на нематериален дълготраен актив, се наблюдават и контролират текущо от ръководството.</w:t>
      </w:r>
    </w:p>
    <w:p w:rsidR="00423ED3" w:rsidRPr="0017792B" w:rsidRDefault="00423ED3" w:rsidP="00423ED3">
      <w:pPr>
        <w:autoSpaceDE w:val="0"/>
        <w:autoSpaceDN w:val="0"/>
        <w:adjustRightInd w:val="0"/>
        <w:jc w:val="both"/>
        <w:rPr>
          <w:rFonts w:ascii="Arial Narrow" w:hAnsi="Arial Narrow"/>
          <w:szCs w:val="22"/>
        </w:rPr>
      </w:pPr>
    </w:p>
    <w:p w:rsidR="00423ED3" w:rsidRPr="0017792B" w:rsidRDefault="00423ED3" w:rsidP="00423ED3">
      <w:pPr>
        <w:autoSpaceDE w:val="0"/>
        <w:autoSpaceDN w:val="0"/>
        <w:adjustRightInd w:val="0"/>
        <w:jc w:val="both"/>
        <w:rPr>
          <w:rFonts w:ascii="Arial Narrow" w:hAnsi="Arial Narrow"/>
          <w:szCs w:val="22"/>
        </w:rPr>
      </w:pPr>
      <w:r w:rsidRPr="0017792B">
        <w:rPr>
          <w:rFonts w:ascii="Arial Narrow" w:hAnsi="Arial Narrow"/>
          <w:szCs w:val="22"/>
        </w:rPr>
        <w:t>Избраният праг на същественост за нематериалните дълготрайни активи на Дружеството е в размер на 700.00 лв.</w:t>
      </w:r>
    </w:p>
    <w:p w:rsidR="00423ED3" w:rsidRPr="0017792B" w:rsidRDefault="00423ED3" w:rsidP="00423ED3">
      <w:pPr>
        <w:autoSpaceDE w:val="0"/>
        <w:autoSpaceDN w:val="0"/>
        <w:adjustRightInd w:val="0"/>
        <w:jc w:val="both"/>
        <w:rPr>
          <w:rFonts w:ascii="Arial Narrow" w:hAnsi="Arial Narrow"/>
          <w:szCs w:val="21"/>
        </w:rPr>
      </w:pPr>
    </w:p>
    <w:p w:rsidR="00423ED3" w:rsidRPr="0017792B" w:rsidRDefault="00423ED3" w:rsidP="00423ED3">
      <w:pPr>
        <w:keepNext/>
        <w:numPr>
          <w:ilvl w:val="1"/>
          <w:numId w:val="1"/>
        </w:numPr>
        <w:autoSpaceDE w:val="0"/>
        <w:autoSpaceDN w:val="0"/>
        <w:adjustRightInd w:val="0"/>
        <w:spacing w:line="360" w:lineRule="auto"/>
        <w:outlineLvl w:val="1"/>
        <w:rPr>
          <w:rFonts w:ascii="Arial Narrow" w:hAnsi="Arial Narrow"/>
          <w:b/>
          <w:bCs/>
          <w:szCs w:val="19"/>
        </w:rPr>
      </w:pPr>
      <w:r w:rsidRPr="0017792B">
        <w:rPr>
          <w:rFonts w:ascii="Arial Narrow" w:hAnsi="Arial Narrow"/>
          <w:b/>
          <w:bCs/>
          <w:szCs w:val="19"/>
        </w:rPr>
        <w:t>Имоти, машини, съоръжения и оборудване</w:t>
      </w:r>
    </w:p>
    <w:p w:rsidR="00423ED3" w:rsidRPr="0017792B" w:rsidRDefault="00423ED3" w:rsidP="00423ED3">
      <w:pPr>
        <w:rPr>
          <w:rFonts w:ascii="Arial Narrow" w:hAnsi="Arial Narrow"/>
        </w:rPr>
      </w:pPr>
    </w:p>
    <w:p w:rsidR="00423ED3" w:rsidRPr="0017792B" w:rsidRDefault="00423ED3" w:rsidP="00423ED3">
      <w:pPr>
        <w:jc w:val="both"/>
        <w:rPr>
          <w:rFonts w:ascii="Arial Narrow" w:hAnsi="Arial Narrow"/>
        </w:rPr>
      </w:pPr>
      <w:r w:rsidRPr="0017792B">
        <w:rPr>
          <w:rFonts w:ascii="Arial Narrow" w:hAnsi="Arial Narrow"/>
        </w:rPr>
        <w:t xml:space="preserve">Имотите, машините, съоръженията и оборудването се оценяват първоначално по себестойност, включваща цената на придобиване, както и всички преки разходи за привеждането на актива в работно състояние.  </w:t>
      </w:r>
    </w:p>
    <w:p w:rsidR="00423ED3" w:rsidRPr="0017792B" w:rsidRDefault="00423ED3" w:rsidP="00423ED3">
      <w:pPr>
        <w:jc w:val="both"/>
        <w:rPr>
          <w:rFonts w:ascii="Arial Narrow" w:hAnsi="Arial Narrow"/>
        </w:rPr>
      </w:pPr>
    </w:p>
    <w:p w:rsidR="00423ED3" w:rsidRPr="0017792B" w:rsidRDefault="00423ED3" w:rsidP="00423ED3">
      <w:pPr>
        <w:autoSpaceDE w:val="0"/>
        <w:autoSpaceDN w:val="0"/>
        <w:adjustRightInd w:val="0"/>
        <w:jc w:val="both"/>
        <w:rPr>
          <w:rFonts w:ascii="Arial Narrow" w:hAnsi="Arial Narrow"/>
          <w:color w:val="FF0000"/>
          <w:szCs w:val="22"/>
          <w:highlight w:val="green"/>
        </w:rPr>
      </w:pPr>
    </w:p>
    <w:p w:rsidR="00423ED3" w:rsidRPr="0017792B" w:rsidRDefault="00423ED3" w:rsidP="00423ED3">
      <w:pPr>
        <w:autoSpaceDE w:val="0"/>
        <w:autoSpaceDN w:val="0"/>
        <w:adjustRightInd w:val="0"/>
        <w:jc w:val="both"/>
        <w:rPr>
          <w:rFonts w:ascii="Arial Narrow" w:hAnsi="Arial Narrow"/>
          <w:bCs/>
          <w:szCs w:val="22"/>
        </w:rPr>
      </w:pPr>
      <w:proofErr w:type="spellStart"/>
      <w:r w:rsidRPr="0017792B">
        <w:rPr>
          <w:rFonts w:ascii="Arial Narrow" w:hAnsi="Arial Narrow"/>
          <w:bCs/>
          <w:szCs w:val="22"/>
        </w:rPr>
        <w:t>Последващото</w:t>
      </w:r>
      <w:proofErr w:type="spellEnd"/>
      <w:r w:rsidRPr="0017792B">
        <w:rPr>
          <w:rFonts w:ascii="Arial Narrow" w:hAnsi="Arial Narrow"/>
          <w:bCs/>
          <w:szCs w:val="22"/>
        </w:rPr>
        <w:t xml:space="preserve"> оценяване се извършва въз основа на цена на придобиване, намалена с натрупаните амортизации и загуби от </w:t>
      </w:r>
      <w:proofErr w:type="spellStart"/>
      <w:r w:rsidRPr="0017792B">
        <w:rPr>
          <w:rFonts w:ascii="Arial Narrow" w:hAnsi="Arial Narrow"/>
          <w:bCs/>
          <w:szCs w:val="22"/>
        </w:rPr>
        <w:t>обезценка</w:t>
      </w:r>
      <w:proofErr w:type="spellEnd"/>
      <w:r w:rsidRPr="0017792B">
        <w:rPr>
          <w:rFonts w:ascii="Arial Narrow" w:hAnsi="Arial Narrow"/>
          <w:bCs/>
          <w:szCs w:val="22"/>
        </w:rPr>
        <w:t xml:space="preserve">. Направените </w:t>
      </w:r>
      <w:proofErr w:type="spellStart"/>
      <w:r w:rsidRPr="0017792B">
        <w:rPr>
          <w:rFonts w:ascii="Arial Narrow" w:hAnsi="Arial Narrow"/>
          <w:bCs/>
          <w:szCs w:val="22"/>
        </w:rPr>
        <w:t>обезценки</w:t>
      </w:r>
      <w:proofErr w:type="spellEnd"/>
      <w:r w:rsidRPr="0017792B">
        <w:rPr>
          <w:rFonts w:ascii="Arial Narrow" w:hAnsi="Arial Narrow"/>
          <w:bCs/>
          <w:szCs w:val="22"/>
        </w:rPr>
        <w:t xml:space="preserve"> се отчитат като разход и се признават в Отчета за доходите за съответния период. </w:t>
      </w:r>
    </w:p>
    <w:p w:rsidR="00423ED3" w:rsidRPr="0017792B" w:rsidRDefault="00423ED3" w:rsidP="00423ED3">
      <w:pPr>
        <w:autoSpaceDE w:val="0"/>
        <w:autoSpaceDN w:val="0"/>
        <w:adjustRightInd w:val="0"/>
        <w:jc w:val="both"/>
        <w:rPr>
          <w:rFonts w:ascii="Arial Narrow" w:hAnsi="Arial Narrow"/>
          <w:szCs w:val="22"/>
        </w:rPr>
      </w:pPr>
    </w:p>
    <w:p w:rsidR="00423ED3" w:rsidRPr="0017792B" w:rsidRDefault="00423ED3" w:rsidP="00423ED3">
      <w:pPr>
        <w:jc w:val="both"/>
        <w:rPr>
          <w:rFonts w:ascii="Arial Narrow" w:hAnsi="Arial Narrow"/>
        </w:rPr>
      </w:pPr>
      <w:proofErr w:type="spellStart"/>
      <w:r w:rsidRPr="0017792B">
        <w:rPr>
          <w:rFonts w:ascii="Arial Narrow" w:hAnsi="Arial Narrow"/>
          <w:szCs w:val="22"/>
        </w:rPr>
        <w:t>Последващи</w:t>
      </w:r>
      <w:proofErr w:type="spellEnd"/>
      <w:r w:rsidRPr="0017792B">
        <w:rPr>
          <w:rFonts w:ascii="Arial Narrow" w:hAnsi="Arial Narrow"/>
          <w:szCs w:val="22"/>
        </w:rPr>
        <w:t xml:space="preserve"> разходи свързани с определен актив от имоти, машини, съоръжения и оборудване, се прибавят към балансовата сума на актива, когато е вероятно дружеството да има икономически ползи, надвишаващи първоначално оценената ефективност на съществуващия актив.  Всички други </w:t>
      </w:r>
      <w:proofErr w:type="spellStart"/>
      <w:r w:rsidRPr="0017792B">
        <w:rPr>
          <w:rFonts w:ascii="Arial Narrow" w:hAnsi="Arial Narrow"/>
          <w:szCs w:val="22"/>
        </w:rPr>
        <w:t>последващи</w:t>
      </w:r>
      <w:proofErr w:type="spellEnd"/>
      <w:r w:rsidRPr="0017792B">
        <w:rPr>
          <w:rFonts w:ascii="Arial Narrow" w:hAnsi="Arial Narrow"/>
          <w:szCs w:val="22"/>
        </w:rPr>
        <w:t xml:space="preserve"> разходи се признават за разход за периода, в който са направени.</w:t>
      </w:r>
    </w:p>
    <w:p w:rsidR="00423ED3" w:rsidRPr="0017792B" w:rsidRDefault="00423ED3" w:rsidP="00423ED3">
      <w:pPr>
        <w:autoSpaceDE w:val="0"/>
        <w:autoSpaceDN w:val="0"/>
        <w:adjustRightInd w:val="0"/>
        <w:jc w:val="both"/>
        <w:rPr>
          <w:rFonts w:ascii="Arial Narrow" w:hAnsi="Arial Narrow"/>
          <w:szCs w:val="22"/>
        </w:rPr>
      </w:pPr>
    </w:p>
    <w:p w:rsidR="00423ED3" w:rsidRPr="0017792B" w:rsidRDefault="00423ED3" w:rsidP="00423ED3">
      <w:pPr>
        <w:autoSpaceDE w:val="0"/>
        <w:autoSpaceDN w:val="0"/>
        <w:adjustRightInd w:val="0"/>
        <w:jc w:val="both"/>
        <w:rPr>
          <w:rFonts w:ascii="Arial Narrow" w:hAnsi="Arial Narrow"/>
          <w:szCs w:val="22"/>
        </w:rPr>
      </w:pPr>
      <w:r w:rsidRPr="0017792B">
        <w:rPr>
          <w:rFonts w:ascii="Arial Narrow" w:hAnsi="Arial Narrow"/>
          <w:szCs w:val="22"/>
        </w:rPr>
        <w:lastRenderedPageBreak/>
        <w:t xml:space="preserve">Имоти, машини, съоръжения и оборудване придобити при условията на финансов лизинг, се амортизират на база на очаквания полезен срок на годност, определен посредством сравнение с подобни активи или на база стойността на лизинговия договор, ако неговият срок е по-кратък. </w:t>
      </w:r>
    </w:p>
    <w:p w:rsidR="00423ED3" w:rsidRPr="0017792B" w:rsidRDefault="00423ED3" w:rsidP="00423ED3">
      <w:pPr>
        <w:autoSpaceDE w:val="0"/>
        <w:autoSpaceDN w:val="0"/>
        <w:adjustRightInd w:val="0"/>
        <w:jc w:val="both"/>
        <w:rPr>
          <w:rFonts w:ascii="Arial Narrow" w:hAnsi="Arial Narrow"/>
          <w:szCs w:val="22"/>
        </w:rPr>
      </w:pPr>
    </w:p>
    <w:p w:rsidR="00423ED3" w:rsidRPr="0017792B" w:rsidRDefault="00423ED3" w:rsidP="00423ED3">
      <w:pPr>
        <w:autoSpaceDE w:val="0"/>
        <w:autoSpaceDN w:val="0"/>
        <w:adjustRightInd w:val="0"/>
        <w:jc w:val="both"/>
        <w:rPr>
          <w:rFonts w:ascii="Arial Narrow" w:hAnsi="Arial Narrow"/>
          <w:szCs w:val="22"/>
        </w:rPr>
      </w:pPr>
      <w:r w:rsidRPr="0017792B">
        <w:rPr>
          <w:rFonts w:ascii="Arial Narrow" w:hAnsi="Arial Narrow"/>
          <w:szCs w:val="22"/>
        </w:rPr>
        <w:t>Амортизацията на имоти, машини, съоръжения и оборудване се начислява, като се използва линейният метод върху оценения полезен живот на отделните групи активи, както следва:</w:t>
      </w:r>
    </w:p>
    <w:p w:rsidR="00423ED3" w:rsidRPr="0017792B" w:rsidRDefault="00423ED3" w:rsidP="00423ED3">
      <w:pPr>
        <w:autoSpaceDE w:val="0"/>
        <w:autoSpaceDN w:val="0"/>
        <w:adjustRightInd w:val="0"/>
        <w:jc w:val="both"/>
        <w:rPr>
          <w:rFonts w:ascii="Arial Narrow" w:hAnsi="Arial Narrow"/>
          <w:szCs w:val="22"/>
        </w:rPr>
      </w:pPr>
    </w:p>
    <w:p w:rsidR="00423ED3" w:rsidRPr="0017792B" w:rsidRDefault="00423ED3" w:rsidP="00423ED3">
      <w:pPr>
        <w:numPr>
          <w:ilvl w:val="0"/>
          <w:numId w:val="2"/>
        </w:numPr>
        <w:autoSpaceDE w:val="0"/>
        <w:autoSpaceDN w:val="0"/>
        <w:adjustRightInd w:val="0"/>
        <w:rPr>
          <w:rFonts w:ascii="Arial Narrow" w:hAnsi="Arial Narrow"/>
          <w:szCs w:val="22"/>
        </w:rPr>
      </w:pPr>
      <w:r w:rsidRPr="0017792B">
        <w:rPr>
          <w:rFonts w:ascii="Arial Narrow" w:hAnsi="Arial Narrow"/>
          <w:szCs w:val="22"/>
        </w:rPr>
        <w:t>Сгради</w:t>
      </w:r>
      <w:r w:rsidRPr="0017792B">
        <w:rPr>
          <w:rFonts w:ascii="Arial Narrow" w:hAnsi="Arial Narrow"/>
          <w:szCs w:val="22"/>
        </w:rPr>
        <w:tab/>
      </w:r>
      <w:r w:rsidRPr="0017792B">
        <w:rPr>
          <w:rFonts w:ascii="Arial Narrow" w:hAnsi="Arial Narrow"/>
          <w:szCs w:val="22"/>
        </w:rPr>
        <w:tab/>
      </w:r>
      <w:r w:rsidRPr="0017792B">
        <w:rPr>
          <w:rFonts w:ascii="Arial Narrow" w:hAnsi="Arial Narrow"/>
          <w:szCs w:val="22"/>
        </w:rPr>
        <w:tab/>
      </w:r>
      <w:r w:rsidRPr="0017792B">
        <w:rPr>
          <w:rFonts w:ascii="Arial Narrow" w:hAnsi="Arial Narrow"/>
          <w:szCs w:val="22"/>
        </w:rPr>
        <w:tab/>
        <w:t>25 години</w:t>
      </w:r>
    </w:p>
    <w:p w:rsidR="00423ED3" w:rsidRPr="0017792B" w:rsidRDefault="00423ED3" w:rsidP="00423ED3">
      <w:pPr>
        <w:numPr>
          <w:ilvl w:val="0"/>
          <w:numId w:val="2"/>
        </w:numPr>
        <w:autoSpaceDE w:val="0"/>
        <w:autoSpaceDN w:val="0"/>
        <w:adjustRightInd w:val="0"/>
        <w:rPr>
          <w:rFonts w:ascii="Arial Narrow" w:hAnsi="Arial Narrow"/>
          <w:szCs w:val="22"/>
        </w:rPr>
      </w:pPr>
      <w:proofErr w:type="spellStart"/>
      <w:r w:rsidRPr="0017792B">
        <w:rPr>
          <w:rFonts w:ascii="Arial Narrow" w:hAnsi="Arial Narrow"/>
          <w:szCs w:val="22"/>
        </w:rPr>
        <w:t>Mашини</w:t>
      </w:r>
      <w:proofErr w:type="spellEnd"/>
      <w:r w:rsidRPr="0017792B">
        <w:rPr>
          <w:rFonts w:ascii="Arial Narrow" w:hAnsi="Arial Narrow"/>
          <w:szCs w:val="22"/>
        </w:rPr>
        <w:tab/>
      </w:r>
      <w:r w:rsidRPr="0017792B">
        <w:rPr>
          <w:rFonts w:ascii="Arial Narrow" w:hAnsi="Arial Narrow"/>
          <w:szCs w:val="22"/>
        </w:rPr>
        <w:tab/>
      </w:r>
      <w:r w:rsidRPr="0017792B">
        <w:rPr>
          <w:rFonts w:ascii="Arial Narrow" w:hAnsi="Arial Narrow"/>
          <w:szCs w:val="22"/>
        </w:rPr>
        <w:tab/>
        <w:t>3 години и три месеца</w:t>
      </w:r>
    </w:p>
    <w:p w:rsidR="00423ED3" w:rsidRPr="0017792B" w:rsidRDefault="00423ED3" w:rsidP="00423ED3">
      <w:pPr>
        <w:numPr>
          <w:ilvl w:val="0"/>
          <w:numId w:val="2"/>
        </w:numPr>
        <w:autoSpaceDE w:val="0"/>
        <w:autoSpaceDN w:val="0"/>
        <w:adjustRightInd w:val="0"/>
        <w:rPr>
          <w:rFonts w:ascii="Arial Narrow" w:hAnsi="Arial Narrow"/>
          <w:szCs w:val="22"/>
        </w:rPr>
      </w:pPr>
      <w:r w:rsidRPr="0017792B">
        <w:rPr>
          <w:rFonts w:ascii="Arial Narrow" w:hAnsi="Arial Narrow"/>
          <w:szCs w:val="22"/>
        </w:rPr>
        <w:t>Автомобили                                4 години</w:t>
      </w:r>
    </w:p>
    <w:p w:rsidR="00423ED3" w:rsidRPr="0017792B" w:rsidRDefault="00423ED3" w:rsidP="00423ED3">
      <w:pPr>
        <w:numPr>
          <w:ilvl w:val="0"/>
          <w:numId w:val="2"/>
        </w:numPr>
        <w:autoSpaceDE w:val="0"/>
        <w:autoSpaceDN w:val="0"/>
        <w:adjustRightInd w:val="0"/>
        <w:rPr>
          <w:rFonts w:ascii="Arial Narrow" w:hAnsi="Arial Narrow"/>
          <w:szCs w:val="22"/>
        </w:rPr>
      </w:pPr>
      <w:r w:rsidRPr="0017792B">
        <w:rPr>
          <w:rFonts w:ascii="Arial Narrow" w:hAnsi="Arial Narrow"/>
          <w:szCs w:val="22"/>
        </w:rPr>
        <w:t xml:space="preserve">Стопански инвентар </w:t>
      </w:r>
      <w:r w:rsidRPr="0017792B">
        <w:rPr>
          <w:rFonts w:ascii="Arial Narrow" w:hAnsi="Arial Narrow"/>
          <w:szCs w:val="22"/>
        </w:rPr>
        <w:tab/>
      </w:r>
      <w:r w:rsidRPr="0017792B">
        <w:rPr>
          <w:rFonts w:ascii="Arial Narrow" w:hAnsi="Arial Narrow"/>
          <w:szCs w:val="22"/>
        </w:rPr>
        <w:tab/>
        <w:t>6 години и шест месеца</w:t>
      </w:r>
    </w:p>
    <w:p w:rsidR="00423ED3" w:rsidRPr="0017792B" w:rsidRDefault="00423ED3" w:rsidP="00423ED3">
      <w:pPr>
        <w:numPr>
          <w:ilvl w:val="0"/>
          <w:numId w:val="2"/>
        </w:numPr>
        <w:autoSpaceDE w:val="0"/>
        <w:autoSpaceDN w:val="0"/>
        <w:adjustRightInd w:val="0"/>
        <w:rPr>
          <w:rFonts w:ascii="Arial Narrow" w:hAnsi="Arial Narrow"/>
          <w:szCs w:val="22"/>
        </w:rPr>
      </w:pPr>
      <w:r w:rsidRPr="0017792B">
        <w:rPr>
          <w:rFonts w:ascii="Arial Narrow" w:hAnsi="Arial Narrow"/>
          <w:szCs w:val="22"/>
        </w:rPr>
        <w:t>Компютри</w:t>
      </w:r>
      <w:r w:rsidRPr="0017792B">
        <w:rPr>
          <w:rFonts w:ascii="Arial Narrow" w:hAnsi="Arial Narrow"/>
          <w:szCs w:val="22"/>
        </w:rPr>
        <w:tab/>
      </w:r>
      <w:r w:rsidRPr="0017792B">
        <w:rPr>
          <w:rFonts w:ascii="Arial Narrow" w:hAnsi="Arial Narrow"/>
          <w:szCs w:val="22"/>
        </w:rPr>
        <w:tab/>
      </w:r>
      <w:r w:rsidRPr="0017792B">
        <w:rPr>
          <w:rFonts w:ascii="Arial Narrow" w:hAnsi="Arial Narrow"/>
          <w:szCs w:val="22"/>
        </w:rPr>
        <w:tab/>
        <w:t>2 години</w:t>
      </w:r>
    </w:p>
    <w:p w:rsidR="00423ED3" w:rsidRPr="0017792B" w:rsidRDefault="00423ED3" w:rsidP="00423ED3">
      <w:pPr>
        <w:numPr>
          <w:ilvl w:val="0"/>
          <w:numId w:val="2"/>
        </w:numPr>
        <w:autoSpaceDE w:val="0"/>
        <w:autoSpaceDN w:val="0"/>
        <w:adjustRightInd w:val="0"/>
        <w:rPr>
          <w:rFonts w:ascii="Arial Narrow" w:hAnsi="Arial Narrow"/>
          <w:szCs w:val="22"/>
        </w:rPr>
      </w:pPr>
      <w:r w:rsidRPr="0017792B">
        <w:rPr>
          <w:rFonts w:ascii="Arial Narrow" w:hAnsi="Arial Narrow"/>
          <w:szCs w:val="22"/>
        </w:rPr>
        <w:t>Други</w:t>
      </w:r>
      <w:r w:rsidRPr="0017792B">
        <w:rPr>
          <w:rFonts w:ascii="Arial Narrow" w:hAnsi="Arial Narrow"/>
          <w:szCs w:val="22"/>
        </w:rPr>
        <w:tab/>
      </w:r>
      <w:r w:rsidRPr="0017792B">
        <w:rPr>
          <w:rFonts w:ascii="Arial Narrow" w:hAnsi="Arial Narrow"/>
          <w:szCs w:val="22"/>
        </w:rPr>
        <w:tab/>
      </w:r>
      <w:r w:rsidRPr="0017792B">
        <w:rPr>
          <w:rFonts w:ascii="Arial Narrow" w:hAnsi="Arial Narrow"/>
          <w:szCs w:val="22"/>
        </w:rPr>
        <w:tab/>
      </w:r>
      <w:r w:rsidRPr="0017792B">
        <w:rPr>
          <w:rFonts w:ascii="Arial Narrow" w:hAnsi="Arial Narrow"/>
          <w:szCs w:val="22"/>
        </w:rPr>
        <w:tab/>
        <w:t>6 години и шест месеца</w:t>
      </w:r>
    </w:p>
    <w:p w:rsidR="00423ED3" w:rsidRPr="0017792B" w:rsidRDefault="00423ED3" w:rsidP="00423ED3">
      <w:pPr>
        <w:autoSpaceDE w:val="0"/>
        <w:autoSpaceDN w:val="0"/>
        <w:adjustRightInd w:val="0"/>
        <w:rPr>
          <w:rFonts w:ascii="Arial Narrow" w:hAnsi="Arial Narrow"/>
          <w:szCs w:val="19"/>
        </w:rPr>
      </w:pPr>
    </w:p>
    <w:p w:rsidR="00423ED3" w:rsidRPr="0017792B" w:rsidRDefault="00423ED3" w:rsidP="00423ED3">
      <w:pPr>
        <w:autoSpaceDE w:val="0"/>
        <w:autoSpaceDN w:val="0"/>
        <w:adjustRightInd w:val="0"/>
        <w:jc w:val="both"/>
        <w:rPr>
          <w:rFonts w:ascii="Arial Narrow" w:hAnsi="Arial Narrow"/>
          <w:szCs w:val="22"/>
        </w:rPr>
      </w:pPr>
      <w:r w:rsidRPr="0017792B">
        <w:rPr>
          <w:rFonts w:ascii="Arial Narrow" w:hAnsi="Arial Narrow"/>
          <w:szCs w:val="22"/>
        </w:rPr>
        <w:t xml:space="preserve">Избраният праг на същественост за имоти, машини, съоръжения и оборудване на Дружеството е в размер </w:t>
      </w:r>
      <w:r w:rsidRPr="0017792B">
        <w:rPr>
          <w:rFonts w:ascii="Arial Narrow" w:hAnsi="Arial Narrow"/>
          <w:color w:val="000000"/>
          <w:szCs w:val="22"/>
        </w:rPr>
        <w:t>на 700.00</w:t>
      </w:r>
      <w:r w:rsidRPr="0017792B">
        <w:rPr>
          <w:rFonts w:ascii="Arial Narrow" w:hAnsi="Arial Narrow"/>
          <w:szCs w:val="22"/>
        </w:rPr>
        <w:t xml:space="preserve"> лв.</w:t>
      </w:r>
    </w:p>
    <w:p w:rsidR="00423ED3" w:rsidRPr="0017792B" w:rsidRDefault="00423ED3" w:rsidP="00423ED3">
      <w:pPr>
        <w:autoSpaceDE w:val="0"/>
        <w:autoSpaceDN w:val="0"/>
        <w:adjustRightInd w:val="0"/>
        <w:rPr>
          <w:rFonts w:ascii="Arial Narrow" w:hAnsi="Arial Narrow"/>
          <w:szCs w:val="19"/>
        </w:rPr>
      </w:pPr>
    </w:p>
    <w:p w:rsidR="00423ED3" w:rsidRPr="0017792B" w:rsidRDefault="00423ED3" w:rsidP="00423ED3">
      <w:pPr>
        <w:keepNext/>
        <w:numPr>
          <w:ilvl w:val="1"/>
          <w:numId w:val="1"/>
        </w:numPr>
        <w:autoSpaceDE w:val="0"/>
        <w:autoSpaceDN w:val="0"/>
        <w:adjustRightInd w:val="0"/>
        <w:spacing w:line="360" w:lineRule="auto"/>
        <w:outlineLvl w:val="1"/>
        <w:rPr>
          <w:rFonts w:ascii="Garamond" w:hAnsi="Garamond"/>
          <w:b/>
          <w:bCs/>
          <w:color w:val="000000"/>
          <w:szCs w:val="22"/>
          <w:lang w:val="en-US"/>
        </w:rPr>
      </w:pPr>
      <w:r w:rsidRPr="0017792B">
        <w:rPr>
          <w:rFonts w:ascii="Arial Narrow" w:hAnsi="Arial Narrow"/>
          <w:b/>
          <w:bCs/>
          <w:szCs w:val="22"/>
        </w:rPr>
        <w:t>Отчитане на лизинговите договори</w:t>
      </w:r>
    </w:p>
    <w:p w:rsidR="00423ED3" w:rsidRPr="0017792B" w:rsidRDefault="00423ED3" w:rsidP="00423ED3">
      <w:pPr>
        <w:autoSpaceDE w:val="0"/>
        <w:autoSpaceDN w:val="0"/>
        <w:adjustRightInd w:val="0"/>
        <w:jc w:val="both"/>
        <w:rPr>
          <w:rFonts w:ascii="Arial Narrow" w:hAnsi="Arial Narrow"/>
          <w:szCs w:val="22"/>
        </w:rPr>
      </w:pPr>
      <w:r w:rsidRPr="0017792B">
        <w:rPr>
          <w:rFonts w:ascii="Arial Narrow" w:hAnsi="Arial Narrow"/>
          <w:szCs w:val="22"/>
        </w:rPr>
        <w:t xml:space="preserve">Активите, отдадени по оперативни лизингови договори, се отразяват в баланса на Дружеството и се амортизират в съответствие с амортизационната политика, възприета по отношение на подобни активи и реда определен от МСС 16 и МСС 38.  Доходът от оперативни лизингови договори се признава директно като приход в Отчета за доходите за съответния отчетен период. </w:t>
      </w:r>
    </w:p>
    <w:p w:rsidR="00423ED3" w:rsidRPr="0017792B" w:rsidRDefault="00423ED3" w:rsidP="00423ED3">
      <w:pPr>
        <w:autoSpaceDE w:val="0"/>
        <w:autoSpaceDN w:val="0"/>
        <w:adjustRightInd w:val="0"/>
        <w:jc w:val="both"/>
        <w:rPr>
          <w:rFonts w:ascii="Arial Narrow" w:hAnsi="Arial Narrow"/>
          <w:szCs w:val="22"/>
        </w:rPr>
      </w:pPr>
    </w:p>
    <w:p w:rsidR="00423ED3" w:rsidRPr="0017792B" w:rsidRDefault="00423ED3" w:rsidP="00423ED3">
      <w:pPr>
        <w:autoSpaceDE w:val="0"/>
        <w:autoSpaceDN w:val="0"/>
        <w:adjustRightInd w:val="0"/>
        <w:jc w:val="both"/>
        <w:rPr>
          <w:rFonts w:ascii="Arial Narrow" w:hAnsi="Arial Narrow"/>
          <w:szCs w:val="22"/>
        </w:rPr>
      </w:pPr>
      <w:r w:rsidRPr="0017792B">
        <w:rPr>
          <w:rFonts w:ascii="Arial Narrow" w:hAnsi="Arial Narrow"/>
          <w:szCs w:val="22"/>
        </w:rPr>
        <w:t xml:space="preserve">Активите, отдадени при условията на финансови лизингови договори, се отразяват в баланса на Дружеството като вземане, равно на нетната инвестиция в лизинговия договор. Доходът от продажба на активите се включва в Отчета за доходите за съответния период. Признаването на финансовия приход се основава на модел, отразяващ постоянен периодичен процент на възвращаемост върху остатъчната нетна инвестиция. </w:t>
      </w:r>
    </w:p>
    <w:p w:rsidR="00423ED3" w:rsidRPr="0017792B" w:rsidRDefault="00423ED3" w:rsidP="00423ED3">
      <w:pPr>
        <w:autoSpaceDE w:val="0"/>
        <w:autoSpaceDN w:val="0"/>
        <w:adjustRightInd w:val="0"/>
        <w:rPr>
          <w:rFonts w:ascii="Arial Narrow" w:hAnsi="Arial Narrow"/>
          <w:szCs w:val="22"/>
        </w:rPr>
      </w:pPr>
    </w:p>
    <w:p w:rsidR="00423ED3" w:rsidRPr="0017792B" w:rsidRDefault="00423ED3" w:rsidP="00423ED3">
      <w:pPr>
        <w:keepNext/>
        <w:numPr>
          <w:ilvl w:val="1"/>
          <w:numId w:val="1"/>
        </w:numPr>
        <w:autoSpaceDE w:val="0"/>
        <w:autoSpaceDN w:val="0"/>
        <w:adjustRightInd w:val="0"/>
        <w:outlineLvl w:val="1"/>
        <w:rPr>
          <w:rFonts w:ascii="Arial Narrow" w:hAnsi="Arial Narrow"/>
          <w:b/>
          <w:bCs/>
          <w:szCs w:val="22"/>
        </w:rPr>
      </w:pPr>
      <w:proofErr w:type="spellStart"/>
      <w:r w:rsidRPr="0017792B">
        <w:rPr>
          <w:rFonts w:ascii="Arial Narrow" w:hAnsi="Arial Narrow"/>
          <w:b/>
          <w:bCs/>
          <w:szCs w:val="22"/>
        </w:rPr>
        <w:t>Tестове</w:t>
      </w:r>
      <w:proofErr w:type="spellEnd"/>
      <w:r w:rsidRPr="0017792B">
        <w:rPr>
          <w:rFonts w:ascii="Arial Narrow" w:hAnsi="Arial Narrow"/>
          <w:b/>
          <w:bCs/>
          <w:szCs w:val="22"/>
        </w:rPr>
        <w:t xml:space="preserve"> за </w:t>
      </w:r>
      <w:proofErr w:type="spellStart"/>
      <w:r w:rsidRPr="0017792B">
        <w:rPr>
          <w:rFonts w:ascii="Arial Narrow" w:hAnsi="Arial Narrow"/>
          <w:b/>
          <w:bCs/>
          <w:szCs w:val="22"/>
        </w:rPr>
        <w:t>oбезценка</w:t>
      </w:r>
      <w:proofErr w:type="spellEnd"/>
      <w:r w:rsidRPr="0017792B">
        <w:rPr>
          <w:rFonts w:ascii="Arial Narrow" w:hAnsi="Arial Narrow"/>
          <w:b/>
          <w:bCs/>
          <w:szCs w:val="22"/>
        </w:rPr>
        <w:t xml:space="preserve"> на нематериалните активи и имоти, машини, съоръжения и оборудване</w:t>
      </w:r>
    </w:p>
    <w:p w:rsidR="00423ED3" w:rsidRPr="0017792B" w:rsidRDefault="00423ED3" w:rsidP="00423ED3">
      <w:pPr>
        <w:rPr>
          <w:rFonts w:ascii="Arial Narrow" w:hAnsi="Arial Narrow"/>
        </w:rPr>
      </w:pPr>
    </w:p>
    <w:p w:rsidR="00423ED3" w:rsidRPr="0017792B" w:rsidRDefault="00423ED3" w:rsidP="00423ED3">
      <w:pPr>
        <w:autoSpaceDE w:val="0"/>
        <w:autoSpaceDN w:val="0"/>
        <w:adjustRightInd w:val="0"/>
        <w:jc w:val="both"/>
        <w:rPr>
          <w:rFonts w:ascii="Arial Narrow" w:hAnsi="Arial Narrow"/>
          <w:szCs w:val="22"/>
        </w:rPr>
      </w:pPr>
      <w:r w:rsidRPr="0017792B">
        <w:rPr>
          <w:rFonts w:ascii="Arial Narrow" w:hAnsi="Arial Narrow"/>
          <w:szCs w:val="22"/>
        </w:rPr>
        <w:t xml:space="preserve">При изчисляване на </w:t>
      </w:r>
      <w:proofErr w:type="spellStart"/>
      <w:r w:rsidRPr="0017792B">
        <w:rPr>
          <w:rFonts w:ascii="Arial Narrow" w:hAnsi="Arial Narrow"/>
          <w:szCs w:val="22"/>
        </w:rPr>
        <w:t>обезценката</w:t>
      </w:r>
      <w:proofErr w:type="spellEnd"/>
      <w:r w:rsidRPr="0017792B">
        <w:rPr>
          <w:rFonts w:ascii="Arial Narrow" w:hAnsi="Arial Narrow"/>
          <w:szCs w:val="22"/>
        </w:rPr>
        <w:t xml:space="preserve"> Дружеството дефинира най-малката </w:t>
      </w:r>
      <w:proofErr w:type="spellStart"/>
      <w:r w:rsidRPr="0017792B">
        <w:rPr>
          <w:rFonts w:ascii="Arial Narrow" w:hAnsi="Arial Narrow"/>
          <w:szCs w:val="22"/>
        </w:rPr>
        <w:t>разграничима</w:t>
      </w:r>
      <w:proofErr w:type="spellEnd"/>
      <w:r w:rsidRPr="0017792B">
        <w:rPr>
          <w:rFonts w:ascii="Arial Narrow" w:hAnsi="Arial Narrow"/>
          <w:szCs w:val="22"/>
        </w:rPr>
        <w:t xml:space="preserve"> група активи, за които могат да бъдат определени самостоятелни парични потоци – единица, генерираща парични потоци. В резултат на това някои от активите подлежат на тест за </w:t>
      </w:r>
      <w:proofErr w:type="spellStart"/>
      <w:r w:rsidRPr="0017792B">
        <w:rPr>
          <w:rFonts w:ascii="Arial Narrow" w:hAnsi="Arial Narrow"/>
          <w:szCs w:val="22"/>
        </w:rPr>
        <w:t>обезценка</w:t>
      </w:r>
      <w:proofErr w:type="spellEnd"/>
      <w:r w:rsidRPr="0017792B">
        <w:rPr>
          <w:rFonts w:ascii="Arial Narrow" w:hAnsi="Arial Narrow"/>
          <w:szCs w:val="22"/>
        </w:rPr>
        <w:t xml:space="preserve"> на индивидуална база, а други на база единица, генерираща парични потоци. </w:t>
      </w:r>
    </w:p>
    <w:p w:rsidR="00423ED3" w:rsidRPr="0017792B" w:rsidRDefault="00423ED3" w:rsidP="00423ED3">
      <w:pPr>
        <w:autoSpaceDE w:val="0"/>
        <w:autoSpaceDN w:val="0"/>
        <w:adjustRightInd w:val="0"/>
        <w:jc w:val="both"/>
        <w:rPr>
          <w:rFonts w:ascii="Arial Narrow" w:hAnsi="Arial Narrow"/>
          <w:szCs w:val="22"/>
        </w:rPr>
      </w:pPr>
    </w:p>
    <w:p w:rsidR="00423ED3" w:rsidRPr="0017792B" w:rsidRDefault="00423ED3" w:rsidP="00423ED3">
      <w:pPr>
        <w:autoSpaceDE w:val="0"/>
        <w:autoSpaceDN w:val="0"/>
        <w:adjustRightInd w:val="0"/>
        <w:jc w:val="both"/>
        <w:rPr>
          <w:rFonts w:ascii="Arial Narrow" w:hAnsi="Arial Narrow"/>
          <w:szCs w:val="22"/>
        </w:rPr>
      </w:pPr>
      <w:r w:rsidRPr="0017792B">
        <w:rPr>
          <w:rFonts w:ascii="Arial Narrow" w:hAnsi="Arial Narrow"/>
          <w:szCs w:val="22"/>
        </w:rPr>
        <w:t xml:space="preserve">Всички активи и единици, генериращи парични потоци, се тестват за </w:t>
      </w:r>
      <w:proofErr w:type="spellStart"/>
      <w:r w:rsidRPr="0017792B">
        <w:rPr>
          <w:rFonts w:ascii="Arial Narrow" w:hAnsi="Arial Narrow"/>
          <w:szCs w:val="22"/>
        </w:rPr>
        <w:t>обезценка</w:t>
      </w:r>
      <w:proofErr w:type="spellEnd"/>
      <w:r w:rsidRPr="0017792B">
        <w:rPr>
          <w:rFonts w:ascii="Arial Narrow" w:hAnsi="Arial Narrow"/>
          <w:szCs w:val="22"/>
        </w:rPr>
        <w:t xml:space="preserve">, когато събития или промяна в обстоятелства </w:t>
      </w:r>
      <w:proofErr w:type="spellStart"/>
      <w:r w:rsidRPr="0017792B">
        <w:rPr>
          <w:rFonts w:ascii="Arial Narrow" w:hAnsi="Arial Narrow"/>
          <w:szCs w:val="22"/>
        </w:rPr>
        <w:t>индикират</w:t>
      </w:r>
      <w:proofErr w:type="spellEnd"/>
      <w:r w:rsidRPr="0017792B">
        <w:rPr>
          <w:rFonts w:ascii="Arial Narrow" w:hAnsi="Arial Narrow"/>
          <w:szCs w:val="22"/>
        </w:rPr>
        <w:t>, че тяхната балансова стойност може да не бъде възстановена.</w:t>
      </w:r>
    </w:p>
    <w:p w:rsidR="00423ED3" w:rsidRPr="0017792B" w:rsidRDefault="00423ED3" w:rsidP="00423ED3">
      <w:pPr>
        <w:autoSpaceDE w:val="0"/>
        <w:autoSpaceDN w:val="0"/>
        <w:adjustRightInd w:val="0"/>
        <w:jc w:val="both"/>
        <w:rPr>
          <w:rFonts w:ascii="Arial Narrow" w:hAnsi="Arial Narrow"/>
          <w:szCs w:val="22"/>
        </w:rPr>
      </w:pPr>
    </w:p>
    <w:p w:rsidR="00423ED3" w:rsidRPr="0017792B" w:rsidRDefault="00423ED3" w:rsidP="00423ED3">
      <w:pPr>
        <w:autoSpaceDE w:val="0"/>
        <w:autoSpaceDN w:val="0"/>
        <w:adjustRightInd w:val="0"/>
        <w:jc w:val="both"/>
        <w:rPr>
          <w:rFonts w:ascii="Arial Narrow" w:hAnsi="Arial Narrow"/>
          <w:szCs w:val="22"/>
        </w:rPr>
      </w:pPr>
      <w:r w:rsidRPr="0017792B">
        <w:rPr>
          <w:rFonts w:ascii="Arial Narrow" w:hAnsi="Arial Narrow"/>
          <w:szCs w:val="22"/>
        </w:rPr>
        <w:t xml:space="preserve">Когато възстановимата стойност на даден актив или единица, генерираща парични потоци, е по-ниска от съответната балансова стойност, последната следва да бъде намалена до размера на възстановимата стойност на актива. Това намаление представлява загуба от </w:t>
      </w:r>
      <w:proofErr w:type="spellStart"/>
      <w:r w:rsidRPr="0017792B">
        <w:rPr>
          <w:rFonts w:ascii="Arial Narrow" w:hAnsi="Arial Narrow"/>
          <w:szCs w:val="22"/>
        </w:rPr>
        <w:t>обезценка</w:t>
      </w:r>
      <w:proofErr w:type="spellEnd"/>
      <w:r w:rsidRPr="0017792B">
        <w:rPr>
          <w:rFonts w:ascii="Arial Narrow" w:hAnsi="Arial Narrow"/>
          <w:szCs w:val="22"/>
        </w:rPr>
        <w:t xml:space="preserve">. За да определи възстановимата стойност, ръководството на Дружеството изчислява очакваните бъдещи парични потоци за всяка единица, генерираща парични потоци, и определя подходящия </w:t>
      </w:r>
      <w:proofErr w:type="spellStart"/>
      <w:r w:rsidRPr="0017792B">
        <w:rPr>
          <w:rFonts w:ascii="Arial Narrow" w:hAnsi="Arial Narrow"/>
          <w:szCs w:val="22"/>
        </w:rPr>
        <w:t>дисконтов</w:t>
      </w:r>
      <w:proofErr w:type="spellEnd"/>
      <w:r w:rsidRPr="0017792B">
        <w:rPr>
          <w:rFonts w:ascii="Arial Narrow" w:hAnsi="Arial Narrow"/>
          <w:szCs w:val="22"/>
        </w:rPr>
        <w:t xml:space="preserve"> фактор с цел калкулиране на настоящата стойност на тези парични потоци. Данните, използвани  </w:t>
      </w:r>
      <w:r w:rsidRPr="0017792B">
        <w:rPr>
          <w:rFonts w:ascii="Arial Narrow" w:hAnsi="Arial Narrow"/>
          <w:szCs w:val="22"/>
        </w:rPr>
        <w:lastRenderedPageBreak/>
        <w:t xml:space="preserve">при  тестването за </w:t>
      </w:r>
      <w:proofErr w:type="spellStart"/>
      <w:r w:rsidRPr="0017792B">
        <w:rPr>
          <w:rFonts w:ascii="Arial Narrow" w:hAnsi="Arial Narrow"/>
          <w:szCs w:val="22"/>
        </w:rPr>
        <w:t>обезценка</w:t>
      </w:r>
      <w:proofErr w:type="spellEnd"/>
      <w:r w:rsidRPr="0017792B">
        <w:rPr>
          <w:rFonts w:ascii="Arial Narrow" w:hAnsi="Arial Narrow"/>
          <w:szCs w:val="22"/>
        </w:rPr>
        <w:t xml:space="preserve">, са пряко свързани с последния одобрен прогнозен бюджет на Дружеството, коригиран при необходимост, за да бъде изключено влиянието на бъдещи реорганизации и значителни подобрения на активите. </w:t>
      </w:r>
      <w:proofErr w:type="spellStart"/>
      <w:r w:rsidRPr="0017792B">
        <w:rPr>
          <w:rFonts w:ascii="Arial Narrow" w:hAnsi="Arial Narrow"/>
          <w:szCs w:val="22"/>
        </w:rPr>
        <w:t>Дисконтовите</w:t>
      </w:r>
      <w:proofErr w:type="spellEnd"/>
      <w:r w:rsidRPr="0017792B">
        <w:rPr>
          <w:rFonts w:ascii="Arial Narrow" w:hAnsi="Arial Narrow"/>
          <w:szCs w:val="22"/>
        </w:rPr>
        <w:t xml:space="preserve"> фактори се определят по отделно за всяка една единица, генерираща парични потоци, и отразяват рисковия профил, оценен от ръководството на Дружеството.</w:t>
      </w:r>
    </w:p>
    <w:p w:rsidR="00423ED3" w:rsidRPr="0017792B" w:rsidRDefault="00423ED3" w:rsidP="00423ED3">
      <w:pPr>
        <w:autoSpaceDE w:val="0"/>
        <w:autoSpaceDN w:val="0"/>
        <w:adjustRightInd w:val="0"/>
        <w:jc w:val="both"/>
        <w:rPr>
          <w:rFonts w:ascii="Arial Narrow" w:hAnsi="Arial Narrow"/>
          <w:szCs w:val="22"/>
        </w:rPr>
      </w:pPr>
    </w:p>
    <w:p w:rsidR="00423ED3" w:rsidRPr="0017792B" w:rsidRDefault="00423ED3" w:rsidP="00423ED3">
      <w:pPr>
        <w:autoSpaceDE w:val="0"/>
        <w:autoSpaceDN w:val="0"/>
        <w:adjustRightInd w:val="0"/>
        <w:jc w:val="both"/>
        <w:rPr>
          <w:rFonts w:ascii="Arial Narrow" w:hAnsi="Arial Narrow"/>
          <w:szCs w:val="19"/>
        </w:rPr>
      </w:pPr>
    </w:p>
    <w:p w:rsidR="00423ED3" w:rsidRPr="0017792B" w:rsidRDefault="00423ED3" w:rsidP="00423ED3">
      <w:pPr>
        <w:autoSpaceDE w:val="0"/>
        <w:autoSpaceDN w:val="0"/>
        <w:adjustRightInd w:val="0"/>
        <w:jc w:val="both"/>
        <w:rPr>
          <w:rFonts w:ascii="Arial Narrow" w:hAnsi="Arial Narrow"/>
          <w:szCs w:val="22"/>
        </w:rPr>
      </w:pPr>
      <w:r w:rsidRPr="0017792B">
        <w:rPr>
          <w:rFonts w:ascii="Arial Narrow" w:hAnsi="Arial Narrow"/>
          <w:szCs w:val="22"/>
        </w:rPr>
        <w:t xml:space="preserve">Загубите от </w:t>
      </w:r>
      <w:proofErr w:type="spellStart"/>
      <w:r w:rsidRPr="0017792B">
        <w:rPr>
          <w:rFonts w:ascii="Arial Narrow" w:hAnsi="Arial Narrow"/>
          <w:szCs w:val="22"/>
        </w:rPr>
        <w:t>обезценка</w:t>
      </w:r>
      <w:proofErr w:type="spellEnd"/>
      <w:r w:rsidRPr="0017792B">
        <w:rPr>
          <w:rFonts w:ascii="Arial Narrow" w:hAnsi="Arial Narrow"/>
          <w:szCs w:val="22"/>
        </w:rPr>
        <w:t xml:space="preserve"> на единица, генерираща парични потоци, се разпределят в намаление на балансовата сума на активите от тази единица пропорционално на балансовата им стойност. Ръководството на Дружеството преценява </w:t>
      </w:r>
      <w:proofErr w:type="spellStart"/>
      <w:r w:rsidRPr="0017792B">
        <w:rPr>
          <w:rFonts w:ascii="Arial Narrow" w:hAnsi="Arial Narrow"/>
          <w:szCs w:val="22"/>
        </w:rPr>
        <w:t>последващо</w:t>
      </w:r>
      <w:proofErr w:type="spellEnd"/>
      <w:r w:rsidRPr="0017792B">
        <w:rPr>
          <w:rFonts w:ascii="Arial Narrow" w:hAnsi="Arial Narrow"/>
          <w:szCs w:val="22"/>
        </w:rPr>
        <w:t xml:space="preserve"> дали съществуват индикации за това, че загубата от </w:t>
      </w:r>
      <w:proofErr w:type="spellStart"/>
      <w:r w:rsidRPr="0017792B">
        <w:rPr>
          <w:rFonts w:ascii="Arial Narrow" w:hAnsi="Arial Narrow"/>
          <w:szCs w:val="22"/>
        </w:rPr>
        <w:t>обезценка</w:t>
      </w:r>
      <w:proofErr w:type="spellEnd"/>
      <w:r w:rsidRPr="0017792B">
        <w:rPr>
          <w:rFonts w:ascii="Arial Narrow" w:hAnsi="Arial Narrow"/>
          <w:szCs w:val="22"/>
        </w:rPr>
        <w:t xml:space="preserve">, призната в предходни години, може вече да не съществува или да е намалена. Призната в минал период </w:t>
      </w:r>
      <w:proofErr w:type="spellStart"/>
      <w:r w:rsidRPr="0017792B">
        <w:rPr>
          <w:rFonts w:ascii="Arial Narrow" w:hAnsi="Arial Narrow"/>
          <w:szCs w:val="22"/>
        </w:rPr>
        <w:t>обезценка</w:t>
      </w:r>
      <w:proofErr w:type="spellEnd"/>
      <w:r w:rsidRPr="0017792B">
        <w:rPr>
          <w:rFonts w:ascii="Arial Narrow" w:hAnsi="Arial Narrow"/>
          <w:szCs w:val="22"/>
        </w:rPr>
        <w:t xml:space="preserve"> се възстановява, ако възстановимата стойност на единицата, генерираща парични потоци, надвишава нейната балансова стойност.</w:t>
      </w:r>
    </w:p>
    <w:p w:rsidR="00423ED3" w:rsidRPr="0017792B" w:rsidRDefault="00423ED3" w:rsidP="00423ED3">
      <w:pPr>
        <w:autoSpaceDE w:val="0"/>
        <w:autoSpaceDN w:val="0"/>
        <w:adjustRightInd w:val="0"/>
        <w:jc w:val="both"/>
        <w:rPr>
          <w:rFonts w:ascii="Arial Narrow" w:hAnsi="Arial Narrow"/>
          <w:szCs w:val="19"/>
        </w:rPr>
      </w:pPr>
    </w:p>
    <w:p w:rsidR="00423ED3" w:rsidRPr="0017792B" w:rsidRDefault="00423ED3" w:rsidP="00423ED3">
      <w:pPr>
        <w:keepNext/>
        <w:numPr>
          <w:ilvl w:val="1"/>
          <w:numId w:val="1"/>
        </w:numPr>
        <w:autoSpaceDE w:val="0"/>
        <w:autoSpaceDN w:val="0"/>
        <w:adjustRightInd w:val="0"/>
        <w:spacing w:line="360" w:lineRule="auto"/>
        <w:outlineLvl w:val="1"/>
        <w:rPr>
          <w:rFonts w:ascii="Arial Narrow" w:hAnsi="Arial Narrow"/>
          <w:b/>
          <w:bCs/>
          <w:szCs w:val="22"/>
        </w:rPr>
      </w:pPr>
      <w:r w:rsidRPr="0017792B">
        <w:rPr>
          <w:rFonts w:ascii="Arial Narrow" w:hAnsi="Arial Narrow"/>
          <w:b/>
          <w:bCs/>
          <w:szCs w:val="22"/>
        </w:rPr>
        <w:t>Инвестиционни имоти</w:t>
      </w:r>
    </w:p>
    <w:p w:rsidR="00423ED3" w:rsidRPr="0017792B" w:rsidRDefault="00423ED3" w:rsidP="00423ED3">
      <w:pPr>
        <w:rPr>
          <w:rFonts w:ascii="Arial Narrow" w:hAnsi="Arial Narrow"/>
        </w:rPr>
      </w:pPr>
    </w:p>
    <w:p w:rsidR="00423ED3" w:rsidRPr="0017792B" w:rsidRDefault="00423ED3" w:rsidP="00423ED3">
      <w:pPr>
        <w:jc w:val="both"/>
        <w:rPr>
          <w:rFonts w:ascii="Arial Narrow" w:hAnsi="Arial Narrow"/>
        </w:rPr>
      </w:pPr>
      <w:r w:rsidRPr="0017792B">
        <w:rPr>
          <w:rFonts w:ascii="Arial Narrow" w:hAnsi="Arial Narrow"/>
        </w:rPr>
        <w:t>Модел на справедливата стойност</w:t>
      </w:r>
    </w:p>
    <w:p w:rsidR="00423ED3" w:rsidRPr="0017792B" w:rsidRDefault="00423ED3" w:rsidP="00423ED3">
      <w:pPr>
        <w:autoSpaceDE w:val="0"/>
        <w:autoSpaceDN w:val="0"/>
        <w:adjustRightInd w:val="0"/>
        <w:jc w:val="both"/>
        <w:rPr>
          <w:rFonts w:ascii="Arial Narrow" w:hAnsi="Arial Narrow"/>
          <w:szCs w:val="22"/>
        </w:rPr>
      </w:pPr>
      <w:r w:rsidRPr="0017792B">
        <w:rPr>
          <w:rFonts w:ascii="Arial Narrow" w:hAnsi="Arial Narrow"/>
          <w:szCs w:val="22"/>
        </w:rPr>
        <w:t xml:space="preserve">Дружеството отчита като инвестиционни имоти земя и сгради, които се държат за получаване на приходи от наем и /или за увеличение на капитала, </w:t>
      </w:r>
      <w:r w:rsidRPr="0017792B">
        <w:rPr>
          <w:rFonts w:ascii="Arial Narrow" w:hAnsi="Arial Narrow"/>
          <w:color w:val="000000"/>
          <w:szCs w:val="22"/>
        </w:rPr>
        <w:t>които се отчитат по модела на справедливата стойност.</w:t>
      </w:r>
    </w:p>
    <w:p w:rsidR="00423ED3" w:rsidRPr="0017792B" w:rsidRDefault="00423ED3" w:rsidP="00423ED3">
      <w:pPr>
        <w:jc w:val="both"/>
        <w:rPr>
          <w:rFonts w:ascii="Arial Narrow" w:hAnsi="Arial Narrow"/>
          <w:highlight w:val="cyan"/>
        </w:rPr>
      </w:pPr>
    </w:p>
    <w:p w:rsidR="00423ED3" w:rsidRPr="0017792B" w:rsidRDefault="00423ED3" w:rsidP="00423ED3">
      <w:pPr>
        <w:autoSpaceDE w:val="0"/>
        <w:autoSpaceDN w:val="0"/>
        <w:adjustRightInd w:val="0"/>
        <w:jc w:val="both"/>
        <w:rPr>
          <w:rFonts w:ascii="Arial Narrow" w:hAnsi="Arial Narrow"/>
          <w:highlight w:val="cyan"/>
        </w:rPr>
      </w:pPr>
      <w:r w:rsidRPr="0017792B">
        <w:rPr>
          <w:rFonts w:ascii="Arial Narrow" w:hAnsi="Arial Narrow"/>
        </w:rPr>
        <w:t xml:space="preserve">Инвестиционните имоти се преоценяват на годишна база и се включват в Отчета за доходите по пазарни стойности. Те се определят от независими оценители с професионална класификация и значителен професионален опит, както </w:t>
      </w:r>
      <w:r w:rsidRPr="0017792B">
        <w:rPr>
          <w:rFonts w:ascii="Arial Narrow" w:hAnsi="Arial Narrow" w:cs="SPTime-Bold"/>
          <w:bCs/>
          <w:lang w:eastAsia="bg-BG"/>
        </w:rPr>
        <w:t>и скорошен опит в местонахождението и категорията на оценявания имот</w:t>
      </w:r>
      <w:r w:rsidRPr="0017792B">
        <w:rPr>
          <w:rFonts w:ascii="Arial Narrow" w:hAnsi="Arial Narrow"/>
        </w:rPr>
        <w:t>, базирайки се на доказателства за пазарните условия.</w:t>
      </w:r>
    </w:p>
    <w:p w:rsidR="00423ED3" w:rsidRPr="0017792B" w:rsidRDefault="00423ED3" w:rsidP="00423ED3">
      <w:pPr>
        <w:jc w:val="both"/>
        <w:rPr>
          <w:rFonts w:ascii="Arial Narrow" w:hAnsi="Arial Narrow"/>
          <w:highlight w:val="cyan"/>
        </w:rPr>
      </w:pPr>
    </w:p>
    <w:p w:rsidR="00423ED3" w:rsidRPr="0017792B" w:rsidRDefault="00423ED3" w:rsidP="00423ED3">
      <w:pPr>
        <w:autoSpaceDE w:val="0"/>
        <w:autoSpaceDN w:val="0"/>
        <w:adjustRightInd w:val="0"/>
        <w:jc w:val="both"/>
        <w:rPr>
          <w:rFonts w:ascii="Arial Narrow" w:hAnsi="Arial Narrow"/>
          <w:color w:val="000000"/>
        </w:rPr>
      </w:pPr>
      <w:r w:rsidRPr="0017792B">
        <w:rPr>
          <w:rFonts w:ascii="Arial Narrow" w:hAnsi="Arial Narrow"/>
          <w:color w:val="000000"/>
        </w:rPr>
        <w:t>Всяка печалба или загуба от промяна в справедливата стойност или продажба на даден инвестиционен имот се признава незабавно в печалбата или загубата като „</w:t>
      </w:r>
      <w:r w:rsidRPr="0017792B">
        <w:rPr>
          <w:rFonts w:ascii="Arial Narrow" w:hAnsi="Arial Narrow" w:cs="Arial"/>
          <w:color w:val="000000"/>
        </w:rPr>
        <w:t>промени в справедливата стойност на инвестиционните имоти</w:t>
      </w:r>
      <w:r w:rsidRPr="0017792B">
        <w:rPr>
          <w:rFonts w:ascii="Arial Narrow" w:hAnsi="Arial Narrow"/>
          <w:color w:val="000000"/>
        </w:rPr>
        <w:t>”.</w:t>
      </w:r>
    </w:p>
    <w:p w:rsidR="00423ED3" w:rsidRPr="0017792B" w:rsidRDefault="00423ED3" w:rsidP="00423ED3">
      <w:pPr>
        <w:autoSpaceDE w:val="0"/>
        <w:autoSpaceDN w:val="0"/>
        <w:adjustRightInd w:val="0"/>
        <w:rPr>
          <w:rFonts w:ascii="Arial Narrow" w:hAnsi="Arial Narrow"/>
          <w:color w:val="000000"/>
        </w:rPr>
      </w:pPr>
    </w:p>
    <w:p w:rsidR="00423ED3" w:rsidRPr="0017792B" w:rsidRDefault="00423ED3" w:rsidP="00423ED3">
      <w:pPr>
        <w:jc w:val="both"/>
        <w:rPr>
          <w:rFonts w:ascii="Arial Narrow" w:hAnsi="Arial Narrow"/>
        </w:rPr>
      </w:pPr>
      <w:r w:rsidRPr="0017792B">
        <w:rPr>
          <w:rFonts w:ascii="Arial Narrow" w:hAnsi="Arial Narrow"/>
        </w:rPr>
        <w:t>Приходите от наем и оперативните разходи, свързани с инвестиционни имоти, се отчитат съответно като „приходи” и „други разходи”</w:t>
      </w:r>
      <w:r>
        <w:rPr>
          <w:rFonts w:ascii="Arial Narrow" w:hAnsi="Arial Narrow"/>
        </w:rPr>
        <w:t>.</w:t>
      </w:r>
    </w:p>
    <w:p w:rsidR="00423ED3" w:rsidRPr="0017792B" w:rsidRDefault="00423ED3" w:rsidP="00423ED3">
      <w:pPr>
        <w:autoSpaceDE w:val="0"/>
        <w:autoSpaceDN w:val="0"/>
        <w:adjustRightInd w:val="0"/>
        <w:jc w:val="both"/>
        <w:rPr>
          <w:rFonts w:ascii="Arial Narrow" w:hAnsi="Arial Narrow"/>
          <w:szCs w:val="22"/>
        </w:rPr>
      </w:pPr>
    </w:p>
    <w:p w:rsidR="00423ED3" w:rsidRPr="0017792B" w:rsidRDefault="00423ED3" w:rsidP="00423ED3">
      <w:pPr>
        <w:autoSpaceDE w:val="0"/>
        <w:autoSpaceDN w:val="0"/>
        <w:adjustRightInd w:val="0"/>
        <w:jc w:val="both"/>
        <w:rPr>
          <w:rFonts w:ascii="Arial Narrow" w:hAnsi="Arial Narrow"/>
          <w:szCs w:val="22"/>
        </w:rPr>
      </w:pPr>
      <w:proofErr w:type="spellStart"/>
      <w:r w:rsidRPr="0017792B">
        <w:rPr>
          <w:rFonts w:ascii="Arial Narrow" w:hAnsi="Arial Narrow"/>
          <w:szCs w:val="22"/>
        </w:rPr>
        <w:t>Последващите</w:t>
      </w:r>
      <w:proofErr w:type="spellEnd"/>
      <w:r w:rsidRPr="0017792B">
        <w:rPr>
          <w:rFonts w:ascii="Arial Narrow" w:hAnsi="Arial Narrow"/>
          <w:szCs w:val="22"/>
        </w:rPr>
        <w:t xml:space="preserve"> разходи, свързани с инвестиционни имоти, които вече са признати във финансовите отчети на Дружеството, се прибавят към балансовата стойност на имотите, когато е вероятно Дружеството да получи бъдещи икономически изгоди, надвишаващи първоначално оценената стойност на съществуващите инвестиционни имоти. Всички други </w:t>
      </w:r>
      <w:proofErr w:type="spellStart"/>
      <w:r w:rsidRPr="0017792B">
        <w:rPr>
          <w:rFonts w:ascii="Arial Narrow" w:hAnsi="Arial Narrow"/>
          <w:szCs w:val="22"/>
        </w:rPr>
        <w:t>последващи</w:t>
      </w:r>
      <w:proofErr w:type="spellEnd"/>
      <w:r w:rsidRPr="0017792B">
        <w:rPr>
          <w:rFonts w:ascii="Arial Narrow" w:hAnsi="Arial Narrow"/>
          <w:szCs w:val="22"/>
        </w:rPr>
        <w:t xml:space="preserve"> разходи се признават за разход в периода, в който са възникнали.  </w:t>
      </w:r>
    </w:p>
    <w:p w:rsidR="00423ED3" w:rsidRPr="0017792B" w:rsidRDefault="00423ED3" w:rsidP="00423ED3">
      <w:pPr>
        <w:autoSpaceDE w:val="0"/>
        <w:autoSpaceDN w:val="0"/>
        <w:adjustRightInd w:val="0"/>
        <w:jc w:val="both"/>
        <w:rPr>
          <w:rFonts w:ascii="Arial Narrow" w:hAnsi="Arial Narrow"/>
          <w:szCs w:val="22"/>
        </w:rPr>
      </w:pPr>
    </w:p>
    <w:p w:rsidR="00423ED3" w:rsidRPr="0017792B" w:rsidRDefault="00423ED3" w:rsidP="00423ED3">
      <w:pPr>
        <w:autoSpaceDE w:val="0"/>
        <w:autoSpaceDN w:val="0"/>
        <w:adjustRightInd w:val="0"/>
        <w:jc w:val="both"/>
        <w:rPr>
          <w:rFonts w:ascii="Arial Narrow" w:hAnsi="Arial Narrow"/>
          <w:szCs w:val="19"/>
        </w:rPr>
      </w:pPr>
      <w:r w:rsidRPr="0017792B">
        <w:rPr>
          <w:rFonts w:ascii="Arial Narrow" w:hAnsi="Arial Narrow"/>
          <w:szCs w:val="19"/>
        </w:rPr>
        <w:t xml:space="preserve">Дружеството отписва инвестиционните си имоти при продажбата им или при трайното им изваждане от употреба, в случай че не се очакват никакви икономически изгоди от тяхната продажба. Печалбите или загубите, възникващи от изваждането им от употреба или продажбата на инвестиционни имоти, се признават в Отчета за доходите и се определят като разлика между нетните постъпления от продажбата и балансовата стойност на актива. </w:t>
      </w:r>
    </w:p>
    <w:p w:rsidR="00423ED3" w:rsidRPr="0017792B" w:rsidRDefault="00423ED3" w:rsidP="00423ED3">
      <w:pPr>
        <w:autoSpaceDE w:val="0"/>
        <w:autoSpaceDN w:val="0"/>
        <w:adjustRightInd w:val="0"/>
        <w:jc w:val="both"/>
        <w:rPr>
          <w:rFonts w:ascii="Arial Narrow" w:hAnsi="Arial Narrow"/>
          <w:szCs w:val="22"/>
          <w:highlight w:val="cyan"/>
        </w:rPr>
      </w:pPr>
    </w:p>
    <w:p w:rsidR="00423ED3" w:rsidRPr="0017792B" w:rsidRDefault="00423ED3" w:rsidP="00423ED3">
      <w:pPr>
        <w:autoSpaceDE w:val="0"/>
        <w:autoSpaceDN w:val="0"/>
        <w:adjustRightInd w:val="0"/>
        <w:jc w:val="both"/>
        <w:rPr>
          <w:rFonts w:ascii="Arial Narrow" w:hAnsi="Arial Narrow"/>
          <w:szCs w:val="22"/>
        </w:rPr>
      </w:pPr>
      <w:r w:rsidRPr="0017792B">
        <w:rPr>
          <w:rFonts w:ascii="Arial Narrow" w:hAnsi="Arial Narrow"/>
          <w:szCs w:val="22"/>
        </w:rPr>
        <w:lastRenderedPageBreak/>
        <w:t xml:space="preserve">Амортизацията на инвестиционните имоти се начислява, като се използва линейният метод върху оценения полезен живот на сградите, който е Х години. </w:t>
      </w:r>
    </w:p>
    <w:p w:rsidR="00423ED3" w:rsidRPr="0017792B" w:rsidRDefault="00423ED3" w:rsidP="00423ED3">
      <w:pPr>
        <w:autoSpaceDE w:val="0"/>
        <w:autoSpaceDN w:val="0"/>
        <w:adjustRightInd w:val="0"/>
        <w:jc w:val="both"/>
        <w:rPr>
          <w:rFonts w:ascii="Arial Narrow" w:hAnsi="Arial Narrow"/>
          <w:bCs/>
          <w:szCs w:val="22"/>
          <w:highlight w:val="cyan"/>
        </w:rPr>
      </w:pPr>
    </w:p>
    <w:p w:rsidR="00423ED3" w:rsidRPr="0017792B" w:rsidRDefault="00423ED3" w:rsidP="00423ED3">
      <w:pPr>
        <w:autoSpaceDE w:val="0"/>
        <w:autoSpaceDN w:val="0"/>
        <w:adjustRightInd w:val="0"/>
        <w:jc w:val="both"/>
        <w:rPr>
          <w:rFonts w:ascii="Arial Narrow" w:hAnsi="Arial Narrow"/>
          <w:bCs/>
          <w:szCs w:val="22"/>
          <w:highlight w:val="cyan"/>
        </w:rPr>
      </w:pPr>
      <w:r w:rsidRPr="0017792B">
        <w:rPr>
          <w:rFonts w:ascii="Arial Narrow" w:hAnsi="Arial Narrow"/>
        </w:rPr>
        <w:t>Приходите от наем и оперативните разходи, свързани с инвестиционни имоти, се отчитат съответно като „приходи” и „други разходи”</w:t>
      </w:r>
      <w:r>
        <w:rPr>
          <w:rFonts w:ascii="Arial Narrow" w:hAnsi="Arial Narrow"/>
        </w:rPr>
        <w:t>.</w:t>
      </w:r>
    </w:p>
    <w:p w:rsidR="00423ED3" w:rsidRPr="0017792B" w:rsidRDefault="00423ED3" w:rsidP="00423ED3">
      <w:pPr>
        <w:autoSpaceDE w:val="0"/>
        <w:autoSpaceDN w:val="0"/>
        <w:adjustRightInd w:val="0"/>
        <w:jc w:val="both"/>
        <w:rPr>
          <w:rFonts w:ascii="Arial Narrow" w:hAnsi="Arial Narrow"/>
          <w:szCs w:val="19"/>
        </w:rPr>
      </w:pPr>
    </w:p>
    <w:p w:rsidR="00423ED3" w:rsidRPr="0017792B" w:rsidRDefault="00423ED3" w:rsidP="00423ED3">
      <w:pPr>
        <w:keepNext/>
        <w:numPr>
          <w:ilvl w:val="1"/>
          <w:numId w:val="1"/>
        </w:numPr>
        <w:autoSpaceDE w:val="0"/>
        <w:autoSpaceDN w:val="0"/>
        <w:adjustRightInd w:val="0"/>
        <w:spacing w:line="360" w:lineRule="auto"/>
        <w:outlineLvl w:val="1"/>
        <w:rPr>
          <w:rFonts w:ascii="Arial Narrow" w:hAnsi="Arial Narrow"/>
          <w:b/>
          <w:bCs/>
          <w:szCs w:val="22"/>
        </w:rPr>
      </w:pPr>
      <w:r w:rsidRPr="0017792B">
        <w:rPr>
          <w:rFonts w:ascii="Arial Narrow" w:hAnsi="Arial Narrow"/>
          <w:b/>
          <w:bCs/>
          <w:szCs w:val="22"/>
        </w:rPr>
        <w:t>Финансови активи</w:t>
      </w:r>
    </w:p>
    <w:p w:rsidR="00423ED3" w:rsidRPr="0017792B" w:rsidRDefault="00423ED3" w:rsidP="00423ED3">
      <w:pPr>
        <w:rPr>
          <w:rFonts w:ascii="Arial Narrow" w:hAnsi="Arial Narrow"/>
        </w:rPr>
      </w:pPr>
    </w:p>
    <w:p w:rsidR="00423ED3" w:rsidRPr="0017792B" w:rsidRDefault="00423ED3" w:rsidP="00423ED3">
      <w:pPr>
        <w:autoSpaceDE w:val="0"/>
        <w:autoSpaceDN w:val="0"/>
        <w:adjustRightInd w:val="0"/>
        <w:jc w:val="both"/>
        <w:rPr>
          <w:rFonts w:ascii="Arial Narrow" w:hAnsi="Arial Narrow"/>
          <w:szCs w:val="22"/>
        </w:rPr>
      </w:pPr>
      <w:r w:rsidRPr="0017792B">
        <w:rPr>
          <w:rFonts w:ascii="Arial Narrow" w:hAnsi="Arial Narrow"/>
          <w:szCs w:val="22"/>
        </w:rPr>
        <w:t xml:space="preserve">Финансовите активи, с изключение на </w:t>
      </w:r>
      <w:proofErr w:type="spellStart"/>
      <w:r w:rsidRPr="0017792B">
        <w:rPr>
          <w:rFonts w:ascii="Arial Narrow" w:hAnsi="Arial Narrow"/>
          <w:szCs w:val="22"/>
        </w:rPr>
        <w:t>хеджиращите</w:t>
      </w:r>
      <w:proofErr w:type="spellEnd"/>
      <w:r w:rsidRPr="0017792B">
        <w:rPr>
          <w:rFonts w:ascii="Arial Narrow" w:hAnsi="Arial Narrow"/>
          <w:szCs w:val="22"/>
        </w:rPr>
        <w:t xml:space="preserve"> инструменти, включват следните категории финансови инструменти: </w:t>
      </w:r>
    </w:p>
    <w:p w:rsidR="00423ED3" w:rsidRPr="0017792B" w:rsidRDefault="00423ED3" w:rsidP="00423ED3">
      <w:pPr>
        <w:numPr>
          <w:ilvl w:val="0"/>
          <w:numId w:val="4"/>
        </w:numPr>
        <w:autoSpaceDE w:val="0"/>
        <w:autoSpaceDN w:val="0"/>
        <w:adjustRightInd w:val="0"/>
        <w:jc w:val="both"/>
        <w:rPr>
          <w:rFonts w:ascii="Arial Narrow" w:hAnsi="Arial Narrow"/>
          <w:szCs w:val="22"/>
        </w:rPr>
      </w:pPr>
      <w:r w:rsidRPr="0017792B">
        <w:rPr>
          <w:rFonts w:ascii="Arial Narrow" w:hAnsi="Arial Narrow"/>
          <w:szCs w:val="22"/>
        </w:rPr>
        <w:t>кредити и вземания;</w:t>
      </w:r>
    </w:p>
    <w:p w:rsidR="00423ED3" w:rsidRPr="0017792B" w:rsidRDefault="00423ED3" w:rsidP="00423ED3">
      <w:pPr>
        <w:numPr>
          <w:ilvl w:val="0"/>
          <w:numId w:val="4"/>
        </w:numPr>
        <w:autoSpaceDE w:val="0"/>
        <w:autoSpaceDN w:val="0"/>
        <w:adjustRightInd w:val="0"/>
        <w:jc w:val="both"/>
        <w:rPr>
          <w:rFonts w:ascii="Arial Narrow" w:hAnsi="Arial Narrow"/>
          <w:szCs w:val="22"/>
        </w:rPr>
      </w:pPr>
      <w:r w:rsidRPr="0017792B">
        <w:rPr>
          <w:rFonts w:ascii="Arial Narrow" w:hAnsi="Arial Narrow"/>
          <w:szCs w:val="22"/>
        </w:rPr>
        <w:t>финансови активи, отчитани по справедлива стойност в печалбата или загубата;</w:t>
      </w:r>
    </w:p>
    <w:p w:rsidR="00423ED3" w:rsidRPr="0017792B" w:rsidRDefault="00423ED3" w:rsidP="00423ED3">
      <w:pPr>
        <w:numPr>
          <w:ilvl w:val="0"/>
          <w:numId w:val="4"/>
        </w:numPr>
        <w:autoSpaceDE w:val="0"/>
        <w:autoSpaceDN w:val="0"/>
        <w:adjustRightInd w:val="0"/>
        <w:jc w:val="both"/>
        <w:rPr>
          <w:rFonts w:ascii="Arial Narrow" w:hAnsi="Arial Narrow"/>
          <w:szCs w:val="22"/>
        </w:rPr>
      </w:pPr>
      <w:r w:rsidRPr="0017792B">
        <w:rPr>
          <w:rFonts w:ascii="Arial Narrow" w:hAnsi="Arial Narrow"/>
          <w:szCs w:val="22"/>
        </w:rPr>
        <w:t>инвестиции, държани до падеж;</w:t>
      </w:r>
    </w:p>
    <w:p w:rsidR="00423ED3" w:rsidRPr="0017792B" w:rsidRDefault="00423ED3" w:rsidP="00423ED3">
      <w:pPr>
        <w:numPr>
          <w:ilvl w:val="0"/>
          <w:numId w:val="4"/>
        </w:numPr>
        <w:autoSpaceDE w:val="0"/>
        <w:autoSpaceDN w:val="0"/>
        <w:adjustRightInd w:val="0"/>
        <w:jc w:val="both"/>
        <w:rPr>
          <w:rFonts w:ascii="Arial Narrow" w:hAnsi="Arial Narrow"/>
          <w:szCs w:val="22"/>
        </w:rPr>
      </w:pPr>
      <w:r w:rsidRPr="0017792B">
        <w:rPr>
          <w:rFonts w:ascii="Arial Narrow" w:hAnsi="Arial Narrow"/>
          <w:szCs w:val="22"/>
        </w:rPr>
        <w:t>финансови активи на разположение за продажба.</w:t>
      </w:r>
    </w:p>
    <w:p w:rsidR="00423ED3" w:rsidRPr="0017792B" w:rsidRDefault="00423ED3" w:rsidP="00423ED3">
      <w:pPr>
        <w:autoSpaceDE w:val="0"/>
        <w:autoSpaceDN w:val="0"/>
        <w:adjustRightInd w:val="0"/>
        <w:jc w:val="both"/>
        <w:rPr>
          <w:rFonts w:ascii="Arial Narrow" w:hAnsi="Arial Narrow"/>
          <w:szCs w:val="22"/>
        </w:rPr>
      </w:pPr>
    </w:p>
    <w:p w:rsidR="00423ED3" w:rsidRPr="0017792B" w:rsidRDefault="00423ED3" w:rsidP="00423ED3">
      <w:pPr>
        <w:autoSpaceDE w:val="0"/>
        <w:autoSpaceDN w:val="0"/>
        <w:adjustRightInd w:val="0"/>
        <w:jc w:val="both"/>
        <w:rPr>
          <w:rFonts w:ascii="Arial Narrow" w:hAnsi="Arial Narrow"/>
          <w:szCs w:val="22"/>
        </w:rPr>
      </w:pPr>
      <w:r w:rsidRPr="0017792B">
        <w:rPr>
          <w:rFonts w:ascii="Arial Narrow" w:hAnsi="Arial Narrow"/>
          <w:szCs w:val="22"/>
        </w:rPr>
        <w:t xml:space="preserve">Финансовите активи се разпределят към отделните категории в зависимост от целта, с която са придобити. Категорията на даден финансов инструмент определя метода му на оценяване и дали приходите и разходите се отразяват в Отчета за доходите или директно в собствения капитал на Дружеството. </w:t>
      </w:r>
    </w:p>
    <w:p w:rsidR="00423ED3" w:rsidRPr="0017792B" w:rsidRDefault="00423ED3" w:rsidP="00423ED3">
      <w:pPr>
        <w:autoSpaceDE w:val="0"/>
        <w:autoSpaceDN w:val="0"/>
        <w:adjustRightInd w:val="0"/>
        <w:jc w:val="both"/>
        <w:rPr>
          <w:rFonts w:ascii="Arial Narrow" w:hAnsi="Arial Narrow"/>
          <w:szCs w:val="22"/>
        </w:rPr>
      </w:pPr>
    </w:p>
    <w:p w:rsidR="00423ED3" w:rsidRPr="0017792B" w:rsidRDefault="00423ED3" w:rsidP="00423ED3">
      <w:pPr>
        <w:jc w:val="both"/>
        <w:rPr>
          <w:rFonts w:ascii="Arial Narrow" w:eastAsia="Arial" w:hAnsi="Arial Narrow"/>
          <w:szCs w:val="18"/>
        </w:rPr>
      </w:pPr>
      <w:r w:rsidRPr="0017792B">
        <w:rPr>
          <w:rFonts w:ascii="Arial Narrow" w:eastAsia="Arial" w:hAnsi="Arial Narrow"/>
          <w:szCs w:val="18"/>
        </w:rPr>
        <w:t xml:space="preserve">При първоначално признаване на финансов актив Дружеството го оценява по справедлива стойност. Разходите по сделката, които могат да бъдат отнесени директно към придобиването или издаването на финансовия актив, се отнасят към стойността на финансовия актив или пасив, с изключение на финансовите активи или пасиви, отчитани по справедлива стойност в печалбата или загубата. </w:t>
      </w:r>
    </w:p>
    <w:p w:rsidR="00423ED3" w:rsidRPr="0017792B" w:rsidRDefault="00423ED3" w:rsidP="00423ED3">
      <w:pPr>
        <w:autoSpaceDE w:val="0"/>
        <w:autoSpaceDN w:val="0"/>
        <w:adjustRightInd w:val="0"/>
        <w:jc w:val="both"/>
        <w:rPr>
          <w:rFonts w:ascii="Arial Narrow" w:hAnsi="Arial Narrow"/>
          <w:szCs w:val="22"/>
        </w:rPr>
      </w:pPr>
    </w:p>
    <w:p w:rsidR="00423ED3" w:rsidRPr="0017792B" w:rsidRDefault="00423ED3" w:rsidP="00423ED3">
      <w:pPr>
        <w:autoSpaceDE w:val="0"/>
        <w:autoSpaceDN w:val="0"/>
        <w:adjustRightInd w:val="0"/>
        <w:jc w:val="both"/>
        <w:rPr>
          <w:rFonts w:ascii="Arial Narrow" w:hAnsi="Arial Narrow"/>
          <w:szCs w:val="22"/>
        </w:rPr>
      </w:pPr>
      <w:r w:rsidRPr="0017792B">
        <w:rPr>
          <w:rFonts w:ascii="Arial Narrow" w:hAnsi="Arial Narrow"/>
          <w:szCs w:val="22"/>
        </w:rPr>
        <w:t xml:space="preserve">Отписването на финансов актив се извършва, когато Дружеството загуби контрол върху договорните права, които съставляват финансовия актив – т.е. когато са изтекли правата за получаване на парични потоци, или е прехвърлена значимата част от рисковете и изгодите от собствеността. Тестове за </w:t>
      </w:r>
      <w:proofErr w:type="spellStart"/>
      <w:r w:rsidRPr="0017792B">
        <w:rPr>
          <w:rFonts w:ascii="Arial Narrow" w:hAnsi="Arial Narrow"/>
          <w:szCs w:val="22"/>
        </w:rPr>
        <w:t>обезценка</w:t>
      </w:r>
      <w:proofErr w:type="spellEnd"/>
      <w:r w:rsidRPr="0017792B">
        <w:rPr>
          <w:rFonts w:ascii="Arial Narrow" w:hAnsi="Arial Narrow"/>
          <w:szCs w:val="22"/>
        </w:rPr>
        <w:t xml:space="preserve"> се извършват към всяка дата на изготвяне на баланса, за да се определи дали са налице обективни доказателства за наличието на </w:t>
      </w:r>
      <w:proofErr w:type="spellStart"/>
      <w:r w:rsidRPr="0017792B">
        <w:rPr>
          <w:rFonts w:ascii="Arial Narrow" w:hAnsi="Arial Narrow"/>
          <w:szCs w:val="22"/>
        </w:rPr>
        <w:t>обезценка</w:t>
      </w:r>
      <w:proofErr w:type="spellEnd"/>
      <w:r w:rsidRPr="0017792B">
        <w:rPr>
          <w:rFonts w:ascii="Arial Narrow" w:hAnsi="Arial Narrow"/>
          <w:szCs w:val="22"/>
        </w:rPr>
        <w:t xml:space="preserve"> на конкретни финансови активи или групи финансови активи. </w:t>
      </w:r>
    </w:p>
    <w:p w:rsidR="00423ED3" w:rsidRPr="0017792B" w:rsidRDefault="00423ED3" w:rsidP="00423ED3">
      <w:pPr>
        <w:autoSpaceDE w:val="0"/>
        <w:autoSpaceDN w:val="0"/>
        <w:adjustRightInd w:val="0"/>
        <w:jc w:val="both"/>
        <w:rPr>
          <w:rFonts w:ascii="Arial Narrow" w:hAnsi="Arial Narrow"/>
          <w:szCs w:val="22"/>
        </w:rPr>
      </w:pPr>
    </w:p>
    <w:p w:rsidR="00423ED3" w:rsidRPr="0017792B" w:rsidRDefault="00423ED3" w:rsidP="00423ED3">
      <w:pPr>
        <w:autoSpaceDE w:val="0"/>
        <w:autoSpaceDN w:val="0"/>
        <w:adjustRightInd w:val="0"/>
        <w:jc w:val="both"/>
        <w:rPr>
          <w:rFonts w:ascii="Arial Narrow" w:hAnsi="Arial Narrow"/>
          <w:szCs w:val="22"/>
        </w:rPr>
      </w:pPr>
      <w:r w:rsidRPr="0017792B">
        <w:rPr>
          <w:rFonts w:ascii="Arial Narrow" w:hAnsi="Arial Narrow"/>
          <w:szCs w:val="22"/>
        </w:rPr>
        <w:t>Лихвените плащания и други парични потоци, свързани с притежаването на финансови инструменти, се отразяват в Отчета за доходите при получаването им, независимо от това как се оценява балансовата стойност на финансовия актив, за който се отнасят.</w:t>
      </w:r>
    </w:p>
    <w:p w:rsidR="00423ED3" w:rsidRPr="0017792B" w:rsidRDefault="00423ED3" w:rsidP="00423ED3">
      <w:pPr>
        <w:autoSpaceDE w:val="0"/>
        <w:autoSpaceDN w:val="0"/>
        <w:adjustRightInd w:val="0"/>
        <w:jc w:val="both"/>
        <w:rPr>
          <w:rFonts w:ascii="Arial Narrow" w:hAnsi="Arial Narrow"/>
          <w:szCs w:val="22"/>
        </w:rPr>
      </w:pPr>
    </w:p>
    <w:p w:rsidR="00423ED3" w:rsidRPr="0017792B" w:rsidRDefault="00423ED3" w:rsidP="00423ED3">
      <w:pPr>
        <w:autoSpaceDE w:val="0"/>
        <w:autoSpaceDN w:val="0"/>
        <w:adjustRightInd w:val="0"/>
        <w:jc w:val="both"/>
        <w:rPr>
          <w:rFonts w:ascii="Arial Narrow" w:hAnsi="Arial Narrow"/>
          <w:szCs w:val="22"/>
        </w:rPr>
      </w:pPr>
      <w:r w:rsidRPr="0017792B">
        <w:rPr>
          <w:rFonts w:ascii="Arial Narrow" w:hAnsi="Arial Narrow"/>
          <w:szCs w:val="22"/>
        </w:rPr>
        <w:t xml:space="preserve">Кредитите и вземанията са </w:t>
      </w:r>
      <w:proofErr w:type="spellStart"/>
      <w:r w:rsidRPr="0017792B">
        <w:rPr>
          <w:rFonts w:ascii="Arial Narrow" w:hAnsi="Arial Narrow"/>
          <w:szCs w:val="22"/>
        </w:rPr>
        <w:t>недеривативни</w:t>
      </w:r>
      <w:proofErr w:type="spellEnd"/>
      <w:r w:rsidRPr="0017792B">
        <w:rPr>
          <w:rFonts w:ascii="Arial Narrow" w:hAnsi="Arial Narrow"/>
          <w:szCs w:val="22"/>
        </w:rPr>
        <w:t xml:space="preserve"> финансови инструменти с фиксирани плащания, които не се търгуват на активен пазар. Кредитите и вземанията </w:t>
      </w:r>
      <w:proofErr w:type="spellStart"/>
      <w:r w:rsidRPr="0017792B">
        <w:rPr>
          <w:rFonts w:ascii="Arial Narrow" w:hAnsi="Arial Narrow"/>
          <w:szCs w:val="22"/>
        </w:rPr>
        <w:t>последващо</w:t>
      </w:r>
      <w:proofErr w:type="spellEnd"/>
      <w:r w:rsidRPr="0017792B">
        <w:rPr>
          <w:rFonts w:ascii="Arial Narrow" w:hAnsi="Arial Narrow"/>
          <w:szCs w:val="22"/>
        </w:rPr>
        <w:t xml:space="preserve"> се оценяват по амортизирана стойност като се използва методът на ефективния лихвен процент. </w:t>
      </w:r>
    </w:p>
    <w:p w:rsidR="00423ED3" w:rsidRPr="0017792B" w:rsidRDefault="00423ED3" w:rsidP="00423ED3">
      <w:pPr>
        <w:autoSpaceDE w:val="0"/>
        <w:autoSpaceDN w:val="0"/>
        <w:adjustRightInd w:val="0"/>
        <w:jc w:val="both"/>
        <w:rPr>
          <w:rFonts w:ascii="Arial Narrow" w:hAnsi="Arial Narrow"/>
          <w:szCs w:val="22"/>
        </w:rPr>
      </w:pPr>
    </w:p>
    <w:p w:rsidR="00423ED3" w:rsidRPr="0017792B" w:rsidRDefault="00423ED3" w:rsidP="00423ED3">
      <w:pPr>
        <w:autoSpaceDE w:val="0"/>
        <w:autoSpaceDN w:val="0"/>
        <w:adjustRightInd w:val="0"/>
        <w:jc w:val="both"/>
        <w:rPr>
          <w:rFonts w:ascii="Arial Narrow" w:hAnsi="Arial Narrow"/>
          <w:szCs w:val="22"/>
        </w:rPr>
      </w:pPr>
      <w:r w:rsidRPr="0017792B">
        <w:rPr>
          <w:rFonts w:ascii="Arial Narrow" w:hAnsi="Arial Narrow"/>
          <w:szCs w:val="22"/>
        </w:rPr>
        <w:t xml:space="preserve">Значими вземания се тестват за </w:t>
      </w:r>
      <w:proofErr w:type="spellStart"/>
      <w:r w:rsidRPr="0017792B">
        <w:rPr>
          <w:rFonts w:ascii="Arial Narrow" w:hAnsi="Arial Narrow"/>
          <w:szCs w:val="22"/>
        </w:rPr>
        <w:t>обезценка</w:t>
      </w:r>
      <w:proofErr w:type="spellEnd"/>
      <w:r w:rsidRPr="0017792B">
        <w:rPr>
          <w:rFonts w:ascii="Arial Narrow" w:hAnsi="Arial Narrow"/>
          <w:szCs w:val="22"/>
        </w:rPr>
        <w:t xml:space="preserve"> по отделно, когато са просрочени към датата на баланса или когато съществуват обективни доказателства, че контрагентът няма да изпълни задълженията си. Всички други вземания се тестват за </w:t>
      </w:r>
      <w:proofErr w:type="spellStart"/>
      <w:r w:rsidRPr="0017792B">
        <w:rPr>
          <w:rFonts w:ascii="Arial Narrow" w:hAnsi="Arial Narrow"/>
          <w:szCs w:val="22"/>
        </w:rPr>
        <w:t>обезценка</w:t>
      </w:r>
      <w:proofErr w:type="spellEnd"/>
      <w:r w:rsidRPr="0017792B">
        <w:rPr>
          <w:rFonts w:ascii="Arial Narrow" w:hAnsi="Arial Narrow"/>
          <w:szCs w:val="22"/>
        </w:rPr>
        <w:t xml:space="preserve"> по групи, които се определят в зависимост от индустрията и региона на контрагента, както и от други кредитни рискове, ако съществуват такива. В този случай процентът на </w:t>
      </w:r>
      <w:proofErr w:type="spellStart"/>
      <w:r w:rsidRPr="0017792B">
        <w:rPr>
          <w:rFonts w:ascii="Arial Narrow" w:hAnsi="Arial Narrow"/>
          <w:szCs w:val="22"/>
        </w:rPr>
        <w:t>обезценката</w:t>
      </w:r>
      <w:proofErr w:type="spellEnd"/>
      <w:r w:rsidRPr="0017792B">
        <w:rPr>
          <w:rFonts w:ascii="Arial Narrow" w:hAnsi="Arial Narrow"/>
          <w:szCs w:val="22"/>
        </w:rPr>
        <w:t xml:space="preserve"> се определя на базата на исторически данни относно непогасени задължения на контрагенти за всяка идентифицирана група.</w:t>
      </w:r>
    </w:p>
    <w:p w:rsidR="00423ED3" w:rsidRPr="0017792B" w:rsidRDefault="00423ED3" w:rsidP="00423ED3">
      <w:pPr>
        <w:autoSpaceDE w:val="0"/>
        <w:autoSpaceDN w:val="0"/>
        <w:adjustRightInd w:val="0"/>
        <w:jc w:val="both"/>
        <w:rPr>
          <w:rFonts w:ascii="Arial Narrow" w:hAnsi="Arial Narrow"/>
          <w:szCs w:val="22"/>
        </w:rPr>
      </w:pPr>
    </w:p>
    <w:p w:rsidR="00423ED3" w:rsidRPr="0017792B" w:rsidRDefault="00423ED3" w:rsidP="00423ED3">
      <w:pPr>
        <w:autoSpaceDE w:val="0"/>
        <w:autoSpaceDN w:val="0"/>
        <w:adjustRightInd w:val="0"/>
        <w:jc w:val="both"/>
        <w:rPr>
          <w:rFonts w:ascii="Arial Narrow" w:hAnsi="Arial Narrow"/>
          <w:szCs w:val="22"/>
          <w:highlight w:val="green"/>
        </w:rPr>
      </w:pPr>
    </w:p>
    <w:p w:rsidR="00423ED3" w:rsidRPr="0017792B" w:rsidRDefault="00423ED3" w:rsidP="00423ED3">
      <w:pPr>
        <w:keepNext/>
        <w:numPr>
          <w:ilvl w:val="1"/>
          <w:numId w:val="1"/>
        </w:numPr>
        <w:autoSpaceDE w:val="0"/>
        <w:autoSpaceDN w:val="0"/>
        <w:adjustRightInd w:val="0"/>
        <w:spacing w:line="360" w:lineRule="auto"/>
        <w:outlineLvl w:val="1"/>
        <w:rPr>
          <w:rFonts w:ascii="Arial Narrow" w:hAnsi="Arial Narrow"/>
          <w:b/>
          <w:bCs/>
          <w:szCs w:val="22"/>
        </w:rPr>
      </w:pPr>
      <w:r w:rsidRPr="0017792B">
        <w:rPr>
          <w:rFonts w:ascii="Arial Narrow" w:hAnsi="Arial Narrow"/>
          <w:b/>
          <w:bCs/>
          <w:szCs w:val="22"/>
        </w:rPr>
        <w:t>Данъци върху дохода</w:t>
      </w:r>
    </w:p>
    <w:p w:rsidR="00423ED3" w:rsidRPr="0017792B" w:rsidRDefault="00423ED3" w:rsidP="00423ED3">
      <w:pPr>
        <w:rPr>
          <w:rFonts w:ascii="Arial Narrow" w:hAnsi="Arial Narrow"/>
        </w:rPr>
      </w:pPr>
      <w:r w:rsidRPr="0017792B">
        <w:rPr>
          <w:rFonts w:ascii="Arial Narrow" w:hAnsi="Arial Narrow"/>
        </w:rPr>
        <w:t>Финансовият резултат на Дружеството не подлежи на облагане с корпоративен данък, съгл. чл. 175 от Закона за корпоративното подоходно облагане.</w:t>
      </w:r>
    </w:p>
    <w:p w:rsidR="00423ED3" w:rsidRPr="0017792B" w:rsidRDefault="00423ED3" w:rsidP="00423ED3">
      <w:pPr>
        <w:autoSpaceDE w:val="0"/>
        <w:autoSpaceDN w:val="0"/>
        <w:adjustRightInd w:val="0"/>
        <w:jc w:val="both"/>
        <w:rPr>
          <w:rFonts w:ascii="Arial Narrow" w:hAnsi="Arial Narrow"/>
          <w:color w:val="000000"/>
          <w:szCs w:val="22"/>
          <w:highlight w:val="cyan"/>
        </w:rPr>
      </w:pPr>
    </w:p>
    <w:p w:rsidR="00423ED3" w:rsidRPr="0017792B" w:rsidRDefault="00423ED3" w:rsidP="00423ED3">
      <w:pPr>
        <w:keepNext/>
        <w:numPr>
          <w:ilvl w:val="1"/>
          <w:numId w:val="1"/>
        </w:numPr>
        <w:autoSpaceDE w:val="0"/>
        <w:autoSpaceDN w:val="0"/>
        <w:adjustRightInd w:val="0"/>
        <w:spacing w:line="360" w:lineRule="auto"/>
        <w:outlineLvl w:val="1"/>
        <w:rPr>
          <w:rFonts w:ascii="Arial Narrow" w:hAnsi="Arial Narrow"/>
          <w:b/>
          <w:bCs/>
          <w:szCs w:val="22"/>
        </w:rPr>
      </w:pPr>
      <w:r w:rsidRPr="0017792B">
        <w:rPr>
          <w:rFonts w:ascii="Arial Narrow" w:hAnsi="Arial Narrow"/>
          <w:b/>
          <w:bCs/>
          <w:szCs w:val="22"/>
        </w:rPr>
        <w:t>Пари и парични еквиваленти</w:t>
      </w:r>
    </w:p>
    <w:p w:rsidR="00423ED3" w:rsidRPr="0017792B" w:rsidRDefault="00423ED3" w:rsidP="00423ED3">
      <w:pPr>
        <w:rPr>
          <w:rFonts w:ascii="Arial Narrow" w:hAnsi="Arial Narrow"/>
        </w:rPr>
      </w:pPr>
    </w:p>
    <w:p w:rsidR="00423ED3" w:rsidRPr="0017792B" w:rsidRDefault="00423ED3" w:rsidP="00423ED3">
      <w:pPr>
        <w:autoSpaceDE w:val="0"/>
        <w:autoSpaceDN w:val="0"/>
        <w:adjustRightInd w:val="0"/>
        <w:jc w:val="both"/>
        <w:rPr>
          <w:rFonts w:ascii="Arial Narrow" w:hAnsi="Arial Narrow"/>
          <w:szCs w:val="22"/>
        </w:rPr>
      </w:pPr>
      <w:r w:rsidRPr="0017792B">
        <w:rPr>
          <w:rFonts w:ascii="Arial Narrow" w:hAnsi="Arial Narrow"/>
          <w:szCs w:val="22"/>
        </w:rPr>
        <w:t>Дружеството отчита като пари и парични еквиваленти наличните пари в брой и паричните средства по банкови сметки.</w:t>
      </w:r>
    </w:p>
    <w:p w:rsidR="00423ED3" w:rsidRPr="0017792B" w:rsidRDefault="00423ED3" w:rsidP="00423ED3">
      <w:pPr>
        <w:rPr>
          <w:rFonts w:ascii="Arial Narrow" w:hAnsi="Arial Narrow"/>
        </w:rPr>
      </w:pPr>
    </w:p>
    <w:p w:rsidR="00423ED3" w:rsidRPr="0017792B" w:rsidRDefault="00423ED3" w:rsidP="00423ED3">
      <w:pPr>
        <w:keepNext/>
        <w:numPr>
          <w:ilvl w:val="1"/>
          <w:numId w:val="1"/>
        </w:numPr>
        <w:autoSpaceDE w:val="0"/>
        <w:autoSpaceDN w:val="0"/>
        <w:adjustRightInd w:val="0"/>
        <w:spacing w:line="360" w:lineRule="auto"/>
        <w:outlineLvl w:val="1"/>
        <w:rPr>
          <w:rFonts w:ascii="Arial Narrow" w:hAnsi="Arial Narrow"/>
          <w:b/>
          <w:bCs/>
          <w:szCs w:val="22"/>
        </w:rPr>
      </w:pPr>
      <w:r w:rsidRPr="0017792B">
        <w:rPr>
          <w:rFonts w:ascii="Arial Narrow" w:hAnsi="Arial Narrow"/>
          <w:b/>
          <w:bCs/>
          <w:szCs w:val="22"/>
        </w:rPr>
        <w:t>Собствен капитал и плащания на дивиденти</w:t>
      </w:r>
    </w:p>
    <w:p w:rsidR="00423ED3" w:rsidRPr="0017792B" w:rsidRDefault="00423ED3" w:rsidP="00423ED3">
      <w:pPr>
        <w:jc w:val="both"/>
        <w:rPr>
          <w:rFonts w:ascii="Arial Narrow" w:hAnsi="Arial Narrow"/>
        </w:rPr>
      </w:pPr>
    </w:p>
    <w:p w:rsidR="00423ED3" w:rsidRPr="0017792B" w:rsidRDefault="00423ED3" w:rsidP="00423ED3">
      <w:pPr>
        <w:jc w:val="both"/>
        <w:rPr>
          <w:rFonts w:ascii="Arial Narrow" w:hAnsi="Arial Narrow"/>
        </w:rPr>
      </w:pPr>
      <w:r w:rsidRPr="0017792B">
        <w:rPr>
          <w:rFonts w:ascii="Arial Narrow" w:hAnsi="Arial Narrow"/>
        </w:rPr>
        <w:t>Акционерният капитал на Дружеството отразява номиналната стойност на емитираните акции.</w:t>
      </w:r>
    </w:p>
    <w:p w:rsidR="00423ED3" w:rsidRPr="0017792B" w:rsidRDefault="00423ED3" w:rsidP="00423ED3">
      <w:pPr>
        <w:jc w:val="both"/>
        <w:rPr>
          <w:rFonts w:ascii="Arial Narrow" w:hAnsi="Arial Narrow"/>
          <w:szCs w:val="22"/>
          <w:lang w:val="ru-RU"/>
        </w:rPr>
      </w:pPr>
    </w:p>
    <w:p w:rsidR="00423ED3" w:rsidRPr="0017792B" w:rsidRDefault="00423ED3" w:rsidP="00423ED3">
      <w:pPr>
        <w:autoSpaceDE w:val="0"/>
        <w:autoSpaceDN w:val="0"/>
        <w:adjustRightInd w:val="0"/>
        <w:jc w:val="both"/>
        <w:rPr>
          <w:rFonts w:ascii="Arial Narrow" w:hAnsi="Arial Narrow"/>
          <w:szCs w:val="22"/>
        </w:rPr>
      </w:pPr>
      <w:r w:rsidRPr="0017792B">
        <w:rPr>
          <w:rFonts w:ascii="Arial Narrow" w:hAnsi="Arial Narrow"/>
          <w:szCs w:val="22"/>
        </w:rPr>
        <w:t>Неразпределената печалба</w:t>
      </w:r>
      <w:r w:rsidRPr="0017792B">
        <w:rPr>
          <w:rFonts w:ascii="Arial Narrow" w:hAnsi="Arial Narrow"/>
          <w:color w:val="FF0000"/>
          <w:szCs w:val="22"/>
        </w:rPr>
        <w:t xml:space="preserve"> </w:t>
      </w:r>
      <w:r w:rsidRPr="0017792B">
        <w:rPr>
          <w:rFonts w:ascii="Arial Narrow" w:hAnsi="Arial Narrow"/>
          <w:szCs w:val="22"/>
        </w:rPr>
        <w:t xml:space="preserve">включва текущия финансов резултат, посочен в Отчета за доходите, както и натрупаните печалби и непокрити загуби от минали години. </w:t>
      </w:r>
    </w:p>
    <w:p w:rsidR="00423ED3" w:rsidRPr="0017792B" w:rsidRDefault="00423ED3" w:rsidP="00423ED3">
      <w:pPr>
        <w:spacing w:line="240" w:lineRule="atLeast"/>
        <w:jc w:val="both"/>
        <w:rPr>
          <w:rFonts w:ascii="Arial Narrow" w:hAnsi="Arial Narrow"/>
          <w:color w:val="000000"/>
        </w:rPr>
      </w:pPr>
    </w:p>
    <w:p w:rsidR="00423ED3" w:rsidRPr="0017792B" w:rsidRDefault="00423ED3" w:rsidP="00423ED3">
      <w:pPr>
        <w:spacing w:line="240" w:lineRule="atLeast"/>
        <w:jc w:val="both"/>
        <w:rPr>
          <w:rFonts w:ascii="Arial Narrow" w:hAnsi="Arial Narrow"/>
        </w:rPr>
      </w:pPr>
      <w:r w:rsidRPr="0017792B">
        <w:rPr>
          <w:rFonts w:ascii="Arial Narrow" w:hAnsi="Arial Narrow"/>
          <w:color w:val="000000"/>
        </w:rPr>
        <w:t xml:space="preserve">Дружеството е задължено по силата на чл.10 от Закона за дружествата със специална инвестиционна цел да разпредели като  дивидент не по-малко от 90 на сто от печалбата за финансовата година, определена по посочения  по-долу начин и при спазване на изискванията на чл. 247а от Търговския закон. </w:t>
      </w:r>
      <w:r w:rsidRPr="0017792B">
        <w:rPr>
          <w:rFonts w:ascii="Arial Narrow" w:hAnsi="Arial Narrow"/>
        </w:rPr>
        <w:t>Печалбата за разпределение е финансовият резултат (счетоводна печалба/загуба), коригиран както следва:</w:t>
      </w:r>
    </w:p>
    <w:p w:rsidR="00423ED3" w:rsidRPr="0017792B" w:rsidRDefault="00423ED3" w:rsidP="00423ED3">
      <w:pPr>
        <w:spacing w:line="240" w:lineRule="atLeast"/>
        <w:ind w:firstLine="640"/>
        <w:jc w:val="both"/>
        <w:rPr>
          <w:rFonts w:ascii="Arial Narrow" w:hAnsi="Arial Narrow"/>
          <w:color w:val="000000"/>
          <w:lang w:eastAsia="bg-BG"/>
        </w:rPr>
      </w:pPr>
      <w:r w:rsidRPr="0017792B">
        <w:rPr>
          <w:rFonts w:ascii="Arial Narrow" w:hAnsi="Arial Narrow"/>
          <w:color w:val="000000"/>
          <w:lang w:eastAsia="bg-BG"/>
        </w:rPr>
        <w:t xml:space="preserve">1. увеличен/намален с разходите/приходите от </w:t>
      </w:r>
      <w:proofErr w:type="spellStart"/>
      <w:r w:rsidRPr="0017792B">
        <w:rPr>
          <w:rFonts w:ascii="Arial Narrow" w:hAnsi="Arial Narrow"/>
          <w:color w:val="000000"/>
          <w:lang w:eastAsia="bg-BG"/>
        </w:rPr>
        <w:t>последващи</w:t>
      </w:r>
      <w:proofErr w:type="spellEnd"/>
      <w:r w:rsidRPr="0017792B">
        <w:rPr>
          <w:rFonts w:ascii="Arial Narrow" w:hAnsi="Arial Narrow"/>
          <w:color w:val="000000"/>
          <w:lang w:eastAsia="bg-BG"/>
        </w:rPr>
        <w:t xml:space="preserve"> оценки на недвижими имоти;</w:t>
      </w:r>
    </w:p>
    <w:p w:rsidR="00423ED3" w:rsidRPr="0017792B" w:rsidRDefault="00423ED3" w:rsidP="00423ED3">
      <w:pPr>
        <w:spacing w:line="240" w:lineRule="atLeast"/>
        <w:ind w:firstLine="640"/>
        <w:jc w:val="both"/>
        <w:rPr>
          <w:rFonts w:ascii="Arial Narrow" w:hAnsi="Arial Narrow"/>
          <w:color w:val="000000"/>
          <w:lang w:eastAsia="bg-BG"/>
        </w:rPr>
      </w:pPr>
      <w:r w:rsidRPr="0017792B">
        <w:rPr>
          <w:rFonts w:ascii="Arial Narrow" w:hAnsi="Arial Narrow"/>
          <w:color w:val="000000"/>
          <w:lang w:eastAsia="bg-BG"/>
        </w:rPr>
        <w:t>2. увеличен/намален със загубите/печалбите от сделки по прехвърляне на собствеността върху недвижими имоти;</w:t>
      </w:r>
    </w:p>
    <w:p w:rsidR="00423ED3" w:rsidRPr="0017792B" w:rsidRDefault="00423ED3" w:rsidP="00423ED3">
      <w:pPr>
        <w:spacing w:line="240" w:lineRule="atLeast"/>
        <w:ind w:firstLine="640"/>
        <w:jc w:val="both"/>
        <w:rPr>
          <w:rFonts w:ascii="Arial Narrow" w:hAnsi="Arial Narrow"/>
          <w:color w:val="000000"/>
          <w:lang w:eastAsia="bg-BG"/>
        </w:rPr>
      </w:pPr>
      <w:r w:rsidRPr="0017792B">
        <w:rPr>
          <w:rFonts w:ascii="Arial Narrow" w:hAnsi="Arial Narrow"/>
          <w:color w:val="000000"/>
          <w:lang w:eastAsia="bg-BG"/>
        </w:rPr>
        <w:t>3. увеличен/намален в годината на прехвърляне на собствеността върху недвижими имоти с положителната/отрицателната разлика между:</w:t>
      </w:r>
    </w:p>
    <w:p w:rsidR="00423ED3" w:rsidRPr="0017792B" w:rsidRDefault="00423ED3" w:rsidP="00423ED3">
      <w:pPr>
        <w:spacing w:line="240" w:lineRule="atLeast"/>
        <w:ind w:firstLine="640"/>
        <w:jc w:val="both"/>
        <w:rPr>
          <w:rFonts w:ascii="Arial Narrow" w:hAnsi="Arial Narrow"/>
          <w:color w:val="000000"/>
          <w:lang w:eastAsia="bg-BG"/>
        </w:rPr>
      </w:pPr>
      <w:r w:rsidRPr="0017792B">
        <w:rPr>
          <w:rFonts w:ascii="Arial Narrow" w:hAnsi="Arial Narrow"/>
          <w:color w:val="000000"/>
          <w:lang w:eastAsia="bg-BG"/>
        </w:rPr>
        <w:t>а) продажната цена на недвижимия имот, и</w:t>
      </w:r>
    </w:p>
    <w:p w:rsidR="00423ED3" w:rsidRPr="0017792B" w:rsidRDefault="00423ED3" w:rsidP="00423ED3">
      <w:pPr>
        <w:spacing w:line="240" w:lineRule="atLeast"/>
        <w:ind w:firstLine="640"/>
        <w:jc w:val="both"/>
        <w:rPr>
          <w:rFonts w:ascii="Arial Narrow" w:hAnsi="Arial Narrow"/>
          <w:color w:val="000000"/>
          <w:lang w:eastAsia="bg-BG"/>
        </w:rPr>
      </w:pPr>
      <w:r w:rsidRPr="0017792B">
        <w:rPr>
          <w:rFonts w:ascii="Arial Narrow" w:hAnsi="Arial Narrow"/>
          <w:color w:val="000000"/>
          <w:lang w:eastAsia="bg-BG"/>
        </w:rPr>
        <w:t xml:space="preserve">б) сумата от историческата цена на недвижимия имот и </w:t>
      </w:r>
      <w:proofErr w:type="spellStart"/>
      <w:r w:rsidRPr="0017792B">
        <w:rPr>
          <w:rFonts w:ascii="Arial Narrow" w:hAnsi="Arial Narrow"/>
          <w:color w:val="000000"/>
          <w:lang w:eastAsia="bg-BG"/>
        </w:rPr>
        <w:t>последващите</w:t>
      </w:r>
      <w:proofErr w:type="spellEnd"/>
      <w:r w:rsidRPr="0017792B">
        <w:rPr>
          <w:rFonts w:ascii="Arial Narrow" w:hAnsi="Arial Narrow"/>
          <w:color w:val="000000"/>
          <w:lang w:eastAsia="bg-BG"/>
        </w:rPr>
        <w:t xml:space="preserve"> разходи, довели до увеличение на балансовата му сума;</w:t>
      </w:r>
    </w:p>
    <w:p w:rsidR="00423ED3" w:rsidRPr="0017792B" w:rsidRDefault="00423ED3" w:rsidP="00423ED3">
      <w:pPr>
        <w:autoSpaceDE w:val="0"/>
        <w:autoSpaceDN w:val="0"/>
        <w:adjustRightInd w:val="0"/>
        <w:rPr>
          <w:rFonts w:ascii="Arial Narrow" w:hAnsi="Arial Narrow"/>
          <w:szCs w:val="22"/>
        </w:rPr>
      </w:pPr>
    </w:p>
    <w:p w:rsidR="00423ED3" w:rsidRPr="0017792B" w:rsidRDefault="00423ED3" w:rsidP="00423ED3">
      <w:pPr>
        <w:keepNext/>
        <w:numPr>
          <w:ilvl w:val="1"/>
          <w:numId w:val="1"/>
        </w:numPr>
        <w:autoSpaceDE w:val="0"/>
        <w:autoSpaceDN w:val="0"/>
        <w:adjustRightInd w:val="0"/>
        <w:spacing w:line="360" w:lineRule="auto"/>
        <w:outlineLvl w:val="1"/>
        <w:rPr>
          <w:rFonts w:ascii="Arial Narrow" w:hAnsi="Arial Narrow"/>
          <w:b/>
          <w:bCs/>
          <w:szCs w:val="22"/>
        </w:rPr>
      </w:pPr>
      <w:r w:rsidRPr="0017792B">
        <w:rPr>
          <w:rFonts w:ascii="Arial Narrow" w:hAnsi="Arial Narrow"/>
          <w:b/>
          <w:bCs/>
          <w:szCs w:val="22"/>
        </w:rPr>
        <w:t>Пенсионни и други задължения към персонала</w:t>
      </w:r>
    </w:p>
    <w:p w:rsidR="00423ED3" w:rsidRPr="0017792B" w:rsidRDefault="00423ED3" w:rsidP="00423ED3">
      <w:pPr>
        <w:jc w:val="both"/>
        <w:rPr>
          <w:rFonts w:ascii="Arial Narrow" w:hAnsi="Arial Narrow"/>
          <w:szCs w:val="22"/>
        </w:rPr>
      </w:pPr>
      <w:r w:rsidRPr="0017792B">
        <w:rPr>
          <w:rFonts w:ascii="Arial Narrow" w:hAnsi="Arial Narrow"/>
        </w:rPr>
        <w:t>Краткосрочните задължения към персонала включват надници, заплати и социални осигуровки.</w:t>
      </w:r>
    </w:p>
    <w:p w:rsidR="00423ED3" w:rsidRPr="0017792B" w:rsidRDefault="00423ED3" w:rsidP="00423ED3">
      <w:pPr>
        <w:jc w:val="both"/>
        <w:rPr>
          <w:rFonts w:ascii="Arial Narrow" w:hAnsi="Arial Narrow"/>
          <w:b/>
          <w:szCs w:val="22"/>
        </w:rPr>
      </w:pPr>
    </w:p>
    <w:p w:rsidR="00423ED3" w:rsidRPr="0017792B" w:rsidRDefault="00423ED3" w:rsidP="00423ED3">
      <w:pPr>
        <w:jc w:val="both"/>
        <w:rPr>
          <w:rFonts w:ascii="Arial Narrow" w:hAnsi="Arial Narrow"/>
        </w:rPr>
      </w:pPr>
      <w:r w:rsidRPr="0017792B">
        <w:rPr>
          <w:rFonts w:ascii="Arial Narrow" w:hAnsi="Arial Narrow"/>
        </w:rPr>
        <w:t xml:space="preserve">Дружеството не е разработвало и не прилага планове за възнаграждения на служителите след напускане или други дългосрочни възнаграждения и планове за възнаграждения след напускане или под формата на компенсации с акции, или с дялове от собствения капитал. </w:t>
      </w:r>
    </w:p>
    <w:p w:rsidR="00423ED3" w:rsidRPr="0017792B" w:rsidRDefault="00423ED3" w:rsidP="00423ED3">
      <w:pPr>
        <w:jc w:val="both"/>
        <w:rPr>
          <w:rFonts w:ascii="Arial Narrow" w:hAnsi="Arial Narrow"/>
        </w:rPr>
      </w:pPr>
      <w:r w:rsidRPr="0017792B">
        <w:rPr>
          <w:rFonts w:ascii="Arial Narrow" w:hAnsi="Arial Narrow"/>
        </w:rPr>
        <w:t xml:space="preserve"> </w:t>
      </w:r>
    </w:p>
    <w:p w:rsidR="00423ED3" w:rsidRPr="0017792B" w:rsidRDefault="00423ED3" w:rsidP="00423ED3">
      <w:pPr>
        <w:keepNext/>
        <w:numPr>
          <w:ilvl w:val="1"/>
          <w:numId w:val="1"/>
        </w:numPr>
        <w:autoSpaceDE w:val="0"/>
        <w:autoSpaceDN w:val="0"/>
        <w:adjustRightInd w:val="0"/>
        <w:spacing w:line="360" w:lineRule="auto"/>
        <w:outlineLvl w:val="1"/>
        <w:rPr>
          <w:rFonts w:ascii="Arial Narrow" w:hAnsi="Arial Narrow"/>
          <w:b/>
          <w:bCs/>
          <w:szCs w:val="22"/>
        </w:rPr>
      </w:pPr>
      <w:r w:rsidRPr="0017792B">
        <w:rPr>
          <w:rFonts w:ascii="Arial Narrow" w:hAnsi="Arial Narrow"/>
          <w:b/>
          <w:bCs/>
          <w:szCs w:val="22"/>
        </w:rPr>
        <w:t>Финансови пасиви</w:t>
      </w:r>
    </w:p>
    <w:p w:rsidR="00423ED3" w:rsidRPr="0017792B" w:rsidRDefault="00423ED3" w:rsidP="00423ED3">
      <w:pPr>
        <w:autoSpaceDE w:val="0"/>
        <w:autoSpaceDN w:val="0"/>
        <w:adjustRightInd w:val="0"/>
        <w:jc w:val="both"/>
        <w:rPr>
          <w:rFonts w:ascii="Arial Narrow" w:hAnsi="Arial Narrow"/>
        </w:rPr>
      </w:pPr>
    </w:p>
    <w:p w:rsidR="00423ED3" w:rsidRPr="0017792B" w:rsidRDefault="00423ED3" w:rsidP="00423ED3">
      <w:pPr>
        <w:autoSpaceDE w:val="0"/>
        <w:autoSpaceDN w:val="0"/>
        <w:adjustRightInd w:val="0"/>
        <w:jc w:val="both"/>
        <w:rPr>
          <w:rFonts w:ascii="Arial Narrow" w:hAnsi="Arial Narrow"/>
          <w:szCs w:val="22"/>
        </w:rPr>
      </w:pPr>
      <w:r w:rsidRPr="0017792B">
        <w:rPr>
          <w:rFonts w:ascii="Arial Narrow" w:hAnsi="Arial Narrow"/>
          <w:szCs w:val="22"/>
        </w:rPr>
        <w:t>Финансовите пасиви включват банкови заеми, търговски и други задължения.</w:t>
      </w:r>
    </w:p>
    <w:p w:rsidR="00423ED3" w:rsidRPr="0017792B" w:rsidRDefault="00423ED3" w:rsidP="00423ED3">
      <w:pPr>
        <w:autoSpaceDE w:val="0"/>
        <w:autoSpaceDN w:val="0"/>
        <w:adjustRightInd w:val="0"/>
        <w:jc w:val="both"/>
        <w:rPr>
          <w:rFonts w:ascii="Arial Narrow" w:hAnsi="Arial Narrow"/>
          <w:szCs w:val="22"/>
        </w:rPr>
      </w:pPr>
    </w:p>
    <w:p w:rsidR="00423ED3" w:rsidRPr="0017792B" w:rsidRDefault="00423ED3" w:rsidP="00423ED3">
      <w:pPr>
        <w:autoSpaceDE w:val="0"/>
        <w:autoSpaceDN w:val="0"/>
        <w:adjustRightInd w:val="0"/>
        <w:jc w:val="both"/>
        <w:rPr>
          <w:rFonts w:ascii="Arial Narrow" w:hAnsi="Arial Narrow"/>
          <w:szCs w:val="22"/>
        </w:rPr>
      </w:pPr>
      <w:r w:rsidRPr="0017792B">
        <w:rPr>
          <w:rFonts w:ascii="Arial Narrow" w:hAnsi="Arial Narrow"/>
          <w:szCs w:val="22"/>
        </w:rPr>
        <w:lastRenderedPageBreak/>
        <w:t>Финансовите пасиви се признават, когато съществува договорно задължение за плащане на парични суми или друг финансов актив на друго предприятие или договорно задължение за размяна на финансови инструменти с друго предприятие при потенциално неблагоприятни условия. Всички разходи, свързани с лихви, се признават като финансови разходи в Отчета за доходите.</w:t>
      </w:r>
    </w:p>
    <w:p w:rsidR="00423ED3" w:rsidRPr="0017792B" w:rsidRDefault="00423ED3" w:rsidP="00423ED3">
      <w:pPr>
        <w:autoSpaceDE w:val="0"/>
        <w:autoSpaceDN w:val="0"/>
        <w:adjustRightInd w:val="0"/>
        <w:rPr>
          <w:rFonts w:ascii="Arial Narrow" w:hAnsi="Arial Narrow"/>
          <w:szCs w:val="22"/>
        </w:rPr>
      </w:pPr>
    </w:p>
    <w:p w:rsidR="00423ED3" w:rsidRPr="0017792B" w:rsidRDefault="00423ED3" w:rsidP="00423ED3">
      <w:pPr>
        <w:autoSpaceDE w:val="0"/>
        <w:autoSpaceDN w:val="0"/>
        <w:adjustRightInd w:val="0"/>
        <w:jc w:val="both"/>
        <w:rPr>
          <w:rFonts w:ascii="Arial Narrow" w:hAnsi="Arial Narrow"/>
          <w:szCs w:val="22"/>
        </w:rPr>
      </w:pPr>
      <w:r w:rsidRPr="0017792B">
        <w:rPr>
          <w:rFonts w:ascii="Arial Narrow" w:hAnsi="Arial Narrow"/>
          <w:szCs w:val="22"/>
        </w:rPr>
        <w:t xml:space="preserve">Банковите заеми са взети с цел краткосрочно подпомагане дейността на Дружеството. Те са отразени в баланса на Дружеството, нетно от разходите по получаването на кредита. </w:t>
      </w:r>
    </w:p>
    <w:p w:rsidR="00423ED3" w:rsidRPr="0017792B" w:rsidRDefault="00423ED3" w:rsidP="00423ED3">
      <w:pPr>
        <w:autoSpaceDE w:val="0"/>
        <w:autoSpaceDN w:val="0"/>
        <w:adjustRightInd w:val="0"/>
        <w:jc w:val="both"/>
        <w:rPr>
          <w:rFonts w:ascii="Arial Narrow" w:hAnsi="Arial Narrow"/>
          <w:szCs w:val="22"/>
        </w:rPr>
      </w:pPr>
    </w:p>
    <w:p w:rsidR="00423ED3" w:rsidRPr="0017792B" w:rsidRDefault="00423ED3" w:rsidP="00423ED3">
      <w:pPr>
        <w:autoSpaceDE w:val="0"/>
        <w:autoSpaceDN w:val="0"/>
        <w:adjustRightInd w:val="0"/>
        <w:jc w:val="both"/>
        <w:rPr>
          <w:rFonts w:ascii="Arial Narrow" w:hAnsi="Arial Narrow"/>
          <w:szCs w:val="22"/>
        </w:rPr>
      </w:pPr>
      <w:r w:rsidRPr="0017792B">
        <w:rPr>
          <w:rFonts w:ascii="Arial Narrow" w:hAnsi="Arial Narrow"/>
          <w:szCs w:val="22"/>
        </w:rPr>
        <w:t xml:space="preserve">Търговските задължения се признават първоначално по номинална стойност и впоследствие се оценяват по </w:t>
      </w:r>
      <w:proofErr w:type="spellStart"/>
      <w:r w:rsidRPr="0017792B">
        <w:rPr>
          <w:rFonts w:ascii="Arial Narrow" w:hAnsi="Arial Narrow"/>
          <w:szCs w:val="22"/>
        </w:rPr>
        <w:t>амортизируема</w:t>
      </w:r>
      <w:proofErr w:type="spellEnd"/>
      <w:r w:rsidRPr="0017792B">
        <w:rPr>
          <w:rFonts w:ascii="Arial Narrow" w:hAnsi="Arial Narrow"/>
          <w:szCs w:val="22"/>
        </w:rPr>
        <w:t xml:space="preserve"> стойност, намалена с плащания по уреждане на задължението.</w:t>
      </w:r>
    </w:p>
    <w:p w:rsidR="00423ED3" w:rsidRPr="0017792B" w:rsidRDefault="00423ED3" w:rsidP="00423ED3">
      <w:pPr>
        <w:autoSpaceDE w:val="0"/>
        <w:autoSpaceDN w:val="0"/>
        <w:adjustRightInd w:val="0"/>
        <w:jc w:val="both"/>
        <w:rPr>
          <w:rFonts w:ascii="Arial Narrow" w:hAnsi="Arial Narrow"/>
          <w:szCs w:val="22"/>
        </w:rPr>
      </w:pPr>
    </w:p>
    <w:p w:rsidR="00423ED3" w:rsidRPr="0017792B" w:rsidRDefault="00423ED3" w:rsidP="00423ED3">
      <w:pPr>
        <w:autoSpaceDE w:val="0"/>
        <w:autoSpaceDN w:val="0"/>
        <w:adjustRightInd w:val="0"/>
        <w:jc w:val="both"/>
        <w:rPr>
          <w:rFonts w:ascii="Arial Narrow" w:hAnsi="Arial Narrow"/>
          <w:szCs w:val="22"/>
        </w:rPr>
      </w:pPr>
      <w:r w:rsidRPr="0017792B">
        <w:rPr>
          <w:rFonts w:ascii="Arial Narrow" w:hAnsi="Arial Narrow"/>
          <w:szCs w:val="22"/>
        </w:rPr>
        <w:t>Дивидентите, платими на акционерите на Дружеството, се признават, когато дивидентите са одобрени на Общото събрание на акционерите.</w:t>
      </w:r>
    </w:p>
    <w:p w:rsidR="00423ED3" w:rsidRPr="0017792B" w:rsidRDefault="00423ED3" w:rsidP="00423ED3">
      <w:pPr>
        <w:autoSpaceDE w:val="0"/>
        <w:autoSpaceDN w:val="0"/>
        <w:adjustRightInd w:val="0"/>
        <w:rPr>
          <w:rFonts w:ascii="Arial Narrow" w:hAnsi="Arial Narrow"/>
          <w:szCs w:val="22"/>
        </w:rPr>
      </w:pPr>
    </w:p>
    <w:p w:rsidR="00423ED3" w:rsidRPr="0017792B" w:rsidRDefault="00423ED3" w:rsidP="00423ED3">
      <w:pPr>
        <w:keepNext/>
        <w:numPr>
          <w:ilvl w:val="1"/>
          <w:numId w:val="1"/>
        </w:numPr>
        <w:autoSpaceDE w:val="0"/>
        <w:autoSpaceDN w:val="0"/>
        <w:adjustRightInd w:val="0"/>
        <w:spacing w:line="360" w:lineRule="auto"/>
        <w:outlineLvl w:val="1"/>
        <w:rPr>
          <w:rFonts w:ascii="Arial Narrow" w:hAnsi="Arial Narrow"/>
          <w:b/>
          <w:bCs/>
          <w:szCs w:val="22"/>
        </w:rPr>
      </w:pPr>
      <w:r w:rsidRPr="0017792B">
        <w:rPr>
          <w:rFonts w:ascii="Arial Narrow" w:hAnsi="Arial Narrow"/>
          <w:b/>
          <w:bCs/>
          <w:szCs w:val="22"/>
        </w:rPr>
        <w:t>Провизии, условни активи и условни пасиви</w:t>
      </w:r>
    </w:p>
    <w:p w:rsidR="00423ED3" w:rsidRPr="0017792B" w:rsidRDefault="00423ED3" w:rsidP="00423ED3">
      <w:pPr>
        <w:jc w:val="both"/>
        <w:rPr>
          <w:rFonts w:ascii="Arial Narrow" w:hAnsi="Arial Narrow"/>
        </w:rPr>
      </w:pPr>
    </w:p>
    <w:p w:rsidR="00423ED3" w:rsidRPr="0017792B" w:rsidRDefault="00423ED3" w:rsidP="00423ED3">
      <w:pPr>
        <w:autoSpaceDE w:val="0"/>
        <w:autoSpaceDN w:val="0"/>
        <w:adjustRightInd w:val="0"/>
        <w:spacing w:after="120"/>
        <w:jc w:val="both"/>
        <w:rPr>
          <w:rFonts w:ascii="Garamond" w:hAnsi="Garamond"/>
          <w:color w:val="000000"/>
          <w:szCs w:val="22"/>
          <w:lang w:val="ru-RU"/>
        </w:rPr>
      </w:pPr>
      <w:r w:rsidRPr="0017792B">
        <w:rPr>
          <w:rFonts w:ascii="Arial Narrow" w:hAnsi="Arial Narrow"/>
          <w:color w:val="000000"/>
          <w:szCs w:val="22"/>
          <w:lang w:eastAsia="de-DE"/>
        </w:rPr>
        <w:t xml:space="preserve">Провизиите се признават, когато има вероятност сегашни задължения в резултат от минали събития да доведат до изходящ поток на ресурси от Дружеството и може да бъде направена надеждна оценка на сумата на задължението. Възможно е </w:t>
      </w:r>
      <w:proofErr w:type="spellStart"/>
      <w:r w:rsidRPr="0017792B">
        <w:rPr>
          <w:rFonts w:ascii="Arial Narrow" w:hAnsi="Arial Narrow"/>
          <w:color w:val="000000"/>
          <w:szCs w:val="22"/>
          <w:lang w:eastAsia="de-DE"/>
        </w:rPr>
        <w:t>срочността</w:t>
      </w:r>
      <w:proofErr w:type="spellEnd"/>
      <w:r w:rsidRPr="0017792B">
        <w:rPr>
          <w:rFonts w:ascii="Arial Narrow" w:hAnsi="Arial Narrow"/>
          <w:color w:val="000000"/>
          <w:szCs w:val="22"/>
          <w:lang w:eastAsia="de-DE"/>
        </w:rPr>
        <w:t xml:space="preserve"> или сумата на изходящия паричен поток да не са сигурни. Сегашно задължение се поражда от наличието на правно или конструктивно задължение вследствие на минали събития. Провизиите за преструктуриране се признават само ако е разработен и приложен подробен формален план за преструктуриране или ръководството е обявило основните моменти на плана за преструктуриране пред засегнатите лица. Провизии за </w:t>
      </w:r>
      <w:r w:rsidRPr="0017792B">
        <w:rPr>
          <w:rFonts w:ascii="Arial Narrow" w:hAnsi="Arial Narrow"/>
          <w:color w:val="000000"/>
          <w:lang w:eastAsia="de-DE"/>
        </w:rPr>
        <w:t>бъдещи загуби от дейността не се признават.</w:t>
      </w:r>
    </w:p>
    <w:p w:rsidR="00423ED3" w:rsidRPr="0017792B" w:rsidRDefault="00423ED3" w:rsidP="00423ED3">
      <w:pPr>
        <w:autoSpaceDE w:val="0"/>
        <w:autoSpaceDN w:val="0"/>
        <w:adjustRightInd w:val="0"/>
        <w:jc w:val="both"/>
        <w:rPr>
          <w:rFonts w:ascii="Arial Narrow" w:hAnsi="Arial Narrow"/>
          <w:lang w:eastAsia="de-DE"/>
        </w:rPr>
      </w:pPr>
      <w:r w:rsidRPr="0017792B">
        <w:rPr>
          <w:rFonts w:ascii="Arial Narrow" w:hAnsi="Arial Narrow"/>
          <w:lang w:eastAsia="de-DE"/>
        </w:rPr>
        <w:t xml:space="preserve">Сумата, която се признава като </w:t>
      </w:r>
      <w:proofErr w:type="spellStart"/>
      <w:r w:rsidRPr="0017792B">
        <w:rPr>
          <w:rFonts w:ascii="Arial Narrow" w:hAnsi="Arial Narrow"/>
          <w:lang w:eastAsia="de-DE"/>
        </w:rPr>
        <w:t>провизия</w:t>
      </w:r>
      <w:proofErr w:type="spellEnd"/>
      <w:r w:rsidRPr="0017792B">
        <w:rPr>
          <w:rFonts w:ascii="Arial Narrow" w:hAnsi="Arial Narrow"/>
          <w:lang w:eastAsia="de-DE"/>
        </w:rPr>
        <w:t xml:space="preserve">, се изчислява на база най-надеждната оценка на разходите, необходими за уреждане на сегашно задължение към края на отчетния период, като също така се вземат в предвид рисковете и несигурността, включително свързани със сегашното задължение. Провизиите се </w:t>
      </w:r>
      <w:proofErr w:type="spellStart"/>
      <w:r w:rsidRPr="0017792B">
        <w:rPr>
          <w:rFonts w:ascii="Arial Narrow" w:hAnsi="Arial Narrow"/>
          <w:lang w:eastAsia="de-DE"/>
        </w:rPr>
        <w:t>дисконтират</w:t>
      </w:r>
      <w:proofErr w:type="spellEnd"/>
      <w:r w:rsidRPr="0017792B">
        <w:rPr>
          <w:rFonts w:ascii="Arial Narrow" w:hAnsi="Arial Narrow"/>
          <w:lang w:eastAsia="de-DE"/>
        </w:rPr>
        <w:t xml:space="preserve">, когато ефектът от </w:t>
      </w:r>
      <w:r w:rsidRPr="0017792B">
        <w:rPr>
          <w:rFonts w:ascii="Arial Narrow" w:hAnsi="Arial Narrow" w:cs="SPTime-Bold"/>
          <w:bCs/>
          <w:lang w:eastAsia="bg-BG"/>
        </w:rPr>
        <w:t xml:space="preserve">времевите разлики в стойността на парите </w:t>
      </w:r>
      <w:r w:rsidRPr="0017792B">
        <w:rPr>
          <w:rFonts w:ascii="Arial Narrow" w:hAnsi="Arial Narrow"/>
          <w:lang w:eastAsia="de-DE"/>
        </w:rPr>
        <w:t>е значителен.</w:t>
      </w:r>
    </w:p>
    <w:p w:rsidR="00423ED3" w:rsidRPr="0017792B" w:rsidRDefault="00423ED3" w:rsidP="00423ED3">
      <w:pPr>
        <w:autoSpaceDE w:val="0"/>
        <w:autoSpaceDN w:val="0"/>
        <w:adjustRightInd w:val="0"/>
        <w:jc w:val="both"/>
        <w:rPr>
          <w:rFonts w:ascii="Arial Narrow" w:hAnsi="Arial Narrow"/>
        </w:rPr>
      </w:pPr>
    </w:p>
    <w:p w:rsidR="00423ED3" w:rsidRPr="0017792B" w:rsidRDefault="00423ED3" w:rsidP="00423ED3">
      <w:pPr>
        <w:autoSpaceDE w:val="0"/>
        <w:autoSpaceDN w:val="0"/>
        <w:adjustRightInd w:val="0"/>
        <w:jc w:val="both"/>
        <w:rPr>
          <w:rFonts w:ascii="Arial Narrow" w:hAnsi="Arial Narrow"/>
          <w:szCs w:val="22"/>
        </w:rPr>
      </w:pPr>
      <w:r w:rsidRPr="0017792B">
        <w:rPr>
          <w:rFonts w:ascii="Arial Narrow" w:hAnsi="Arial Narrow"/>
          <w:szCs w:val="22"/>
        </w:rPr>
        <w:t xml:space="preserve">Обезщетения от трети лица във връзка с дадено задължение на Дружеството се признават като отделен актив. Този актив, обаче, не може да надвишава стойността на съответната </w:t>
      </w:r>
      <w:proofErr w:type="spellStart"/>
      <w:r w:rsidRPr="0017792B">
        <w:rPr>
          <w:rFonts w:ascii="Arial Narrow" w:hAnsi="Arial Narrow"/>
          <w:szCs w:val="22"/>
        </w:rPr>
        <w:t>провизия</w:t>
      </w:r>
      <w:proofErr w:type="spellEnd"/>
      <w:r w:rsidRPr="0017792B">
        <w:rPr>
          <w:rFonts w:ascii="Arial Narrow" w:hAnsi="Arial Narrow"/>
          <w:szCs w:val="22"/>
        </w:rPr>
        <w:t xml:space="preserve">. </w:t>
      </w:r>
    </w:p>
    <w:p w:rsidR="00423ED3" w:rsidRPr="0017792B" w:rsidRDefault="00423ED3" w:rsidP="00423ED3">
      <w:pPr>
        <w:autoSpaceDE w:val="0"/>
        <w:autoSpaceDN w:val="0"/>
        <w:adjustRightInd w:val="0"/>
        <w:jc w:val="both"/>
        <w:rPr>
          <w:rFonts w:ascii="Arial Narrow" w:hAnsi="Arial Narrow"/>
          <w:szCs w:val="22"/>
        </w:rPr>
      </w:pPr>
    </w:p>
    <w:p w:rsidR="00423ED3" w:rsidRPr="0017792B" w:rsidRDefault="00423ED3" w:rsidP="00423ED3">
      <w:pPr>
        <w:autoSpaceDE w:val="0"/>
        <w:autoSpaceDN w:val="0"/>
        <w:adjustRightInd w:val="0"/>
        <w:jc w:val="both"/>
        <w:rPr>
          <w:rFonts w:ascii="Arial Narrow" w:hAnsi="Arial Narrow"/>
          <w:color w:val="000000"/>
          <w:szCs w:val="22"/>
        </w:rPr>
      </w:pPr>
      <w:r w:rsidRPr="0017792B">
        <w:rPr>
          <w:rFonts w:ascii="Arial Narrow" w:hAnsi="Arial Narrow"/>
          <w:szCs w:val="22"/>
        </w:rPr>
        <w:t xml:space="preserve">Провизиите се преразглеждат към всяка балансова дата и стойността им се коригира, така че да отрази най-добрата приблизителна оценка към датата на баланса. </w:t>
      </w:r>
      <w:r w:rsidRPr="0017792B">
        <w:rPr>
          <w:rFonts w:ascii="Arial Narrow" w:hAnsi="Arial Narrow"/>
          <w:color w:val="000000"/>
          <w:szCs w:val="22"/>
        </w:rPr>
        <w:t xml:space="preserve">В случаите, в които се счита, че е малко вероятно да възникне изходящ поток ресурси в резултат на текущо задължение, такова задължение не се признава. Дружеството не признава условни активи, тъй като признаването им може да има за резултат признаването на доход, който може никога да не бъде реализиран. </w:t>
      </w:r>
    </w:p>
    <w:p w:rsidR="00423ED3" w:rsidRPr="0017792B" w:rsidRDefault="00423ED3" w:rsidP="00423ED3">
      <w:pPr>
        <w:autoSpaceDE w:val="0"/>
        <w:autoSpaceDN w:val="0"/>
        <w:adjustRightInd w:val="0"/>
        <w:jc w:val="both"/>
        <w:rPr>
          <w:rFonts w:ascii="Arial Narrow" w:hAnsi="Arial Narrow"/>
          <w:color w:val="000000"/>
          <w:szCs w:val="22"/>
        </w:rPr>
      </w:pPr>
    </w:p>
    <w:p w:rsidR="00423ED3" w:rsidRPr="0017792B" w:rsidRDefault="00423ED3" w:rsidP="00423ED3">
      <w:pPr>
        <w:autoSpaceDE w:val="0"/>
        <w:autoSpaceDN w:val="0"/>
        <w:adjustRightInd w:val="0"/>
        <w:jc w:val="both"/>
        <w:rPr>
          <w:rFonts w:ascii="Garamond" w:hAnsi="Garamond"/>
          <w:color w:val="000000"/>
          <w:szCs w:val="22"/>
          <w:lang w:val="ru-RU"/>
        </w:rPr>
      </w:pPr>
    </w:p>
    <w:p w:rsidR="00423ED3" w:rsidRPr="0017792B" w:rsidRDefault="00423ED3" w:rsidP="00423ED3">
      <w:pPr>
        <w:keepNext/>
        <w:numPr>
          <w:ilvl w:val="1"/>
          <w:numId w:val="1"/>
        </w:numPr>
        <w:autoSpaceDE w:val="0"/>
        <w:autoSpaceDN w:val="0"/>
        <w:adjustRightInd w:val="0"/>
        <w:jc w:val="both"/>
        <w:outlineLvl w:val="1"/>
        <w:rPr>
          <w:rFonts w:ascii="Arial Narrow" w:hAnsi="Arial Narrow"/>
          <w:b/>
          <w:bCs/>
          <w:iCs/>
          <w:color w:val="000000"/>
        </w:rPr>
      </w:pPr>
      <w:r w:rsidRPr="0017792B">
        <w:rPr>
          <w:rFonts w:ascii="Arial Narrow" w:hAnsi="Arial Narrow"/>
          <w:b/>
          <w:bCs/>
          <w:color w:val="000000"/>
        </w:rPr>
        <w:lastRenderedPageBreak/>
        <w:t>Значими преценки на ръководството при прилагане на счетоводната политика</w:t>
      </w:r>
    </w:p>
    <w:p w:rsidR="00423ED3" w:rsidRPr="0017792B" w:rsidRDefault="00423ED3" w:rsidP="00423ED3">
      <w:pPr>
        <w:keepNext/>
        <w:autoSpaceDE w:val="0"/>
        <w:autoSpaceDN w:val="0"/>
        <w:adjustRightInd w:val="0"/>
        <w:jc w:val="both"/>
        <w:outlineLvl w:val="0"/>
        <w:rPr>
          <w:rFonts w:ascii="Arial Narrow" w:hAnsi="Arial Narrow"/>
          <w:bCs/>
          <w:color w:val="000000"/>
          <w:lang w:eastAsia="de-DE"/>
        </w:rPr>
      </w:pPr>
    </w:p>
    <w:p w:rsidR="00423ED3" w:rsidRPr="0017792B" w:rsidRDefault="00423ED3" w:rsidP="00423ED3">
      <w:pPr>
        <w:keepNext/>
        <w:autoSpaceDE w:val="0"/>
        <w:autoSpaceDN w:val="0"/>
        <w:adjustRightInd w:val="0"/>
        <w:jc w:val="both"/>
        <w:outlineLvl w:val="0"/>
        <w:rPr>
          <w:rFonts w:ascii="Arial Narrow" w:hAnsi="Arial Narrow"/>
          <w:bCs/>
          <w:color w:val="000000"/>
          <w:lang w:val="ru-RU" w:eastAsia="de-DE"/>
        </w:rPr>
      </w:pPr>
      <w:r w:rsidRPr="0017792B">
        <w:rPr>
          <w:rFonts w:ascii="Arial Narrow" w:hAnsi="Arial Narrow"/>
          <w:bCs/>
          <w:color w:val="000000"/>
          <w:szCs w:val="40"/>
          <w:lang w:eastAsia="de-DE"/>
        </w:rPr>
        <w:t xml:space="preserve">Значимите преценки на Ръководството при прилагането на счетоводните политики на Дружеството, които оказват най-съществено влияние върху финансовите отчети, са описани по-долу. </w:t>
      </w:r>
      <w:r w:rsidRPr="00B324B5">
        <w:rPr>
          <w:rFonts w:ascii="Arial Narrow" w:hAnsi="Arial Narrow"/>
          <w:bCs/>
          <w:color w:val="000000"/>
          <w:szCs w:val="40"/>
          <w:lang w:eastAsia="de-DE"/>
        </w:rPr>
        <w:t>Основните източници на несигурност при използването на приблизителните счетоводни оценки са описани в пояснение</w:t>
      </w:r>
      <w:r w:rsidRPr="00B324B5">
        <w:rPr>
          <w:rFonts w:ascii="Arial Narrow" w:hAnsi="Arial Narrow"/>
          <w:bCs/>
          <w:color w:val="000000"/>
          <w:lang w:val="ru-RU" w:eastAsia="de-DE"/>
        </w:rPr>
        <w:t xml:space="preserve"> </w:t>
      </w:r>
      <w:r w:rsidRPr="00B324B5">
        <w:rPr>
          <w:rFonts w:ascii="Arial Narrow" w:hAnsi="Arial Narrow"/>
          <w:bCs/>
          <w:color w:val="000000"/>
          <w:lang w:eastAsia="de-DE"/>
        </w:rPr>
        <w:t>.</w:t>
      </w:r>
    </w:p>
    <w:p w:rsidR="00423ED3" w:rsidRPr="0017792B" w:rsidRDefault="00423ED3" w:rsidP="00423ED3">
      <w:pPr>
        <w:keepNext/>
        <w:autoSpaceDE w:val="0"/>
        <w:autoSpaceDN w:val="0"/>
        <w:adjustRightInd w:val="0"/>
        <w:jc w:val="both"/>
        <w:outlineLvl w:val="0"/>
        <w:rPr>
          <w:rFonts w:ascii="Arial Narrow" w:hAnsi="Arial Narrow"/>
          <w:bCs/>
          <w:color w:val="000000"/>
          <w:lang w:eastAsia="de-DE"/>
        </w:rPr>
      </w:pPr>
    </w:p>
    <w:p w:rsidR="00423ED3" w:rsidRPr="0017792B" w:rsidRDefault="00423ED3" w:rsidP="00423ED3">
      <w:pPr>
        <w:jc w:val="both"/>
        <w:rPr>
          <w:rFonts w:ascii="Arial Narrow" w:hAnsi="Arial Narrow"/>
        </w:rPr>
      </w:pPr>
    </w:p>
    <w:p w:rsidR="00423ED3" w:rsidRPr="0017792B" w:rsidRDefault="00423ED3" w:rsidP="00423ED3">
      <w:pPr>
        <w:keepNext/>
        <w:numPr>
          <w:ilvl w:val="1"/>
          <w:numId w:val="1"/>
        </w:numPr>
        <w:autoSpaceDE w:val="0"/>
        <w:autoSpaceDN w:val="0"/>
        <w:adjustRightInd w:val="0"/>
        <w:jc w:val="both"/>
        <w:outlineLvl w:val="1"/>
        <w:rPr>
          <w:rFonts w:ascii="Arial Narrow" w:hAnsi="Arial Narrow"/>
          <w:b/>
          <w:bCs/>
          <w:color w:val="000000"/>
        </w:rPr>
      </w:pPr>
      <w:r w:rsidRPr="0017792B">
        <w:rPr>
          <w:rFonts w:ascii="Arial Narrow" w:hAnsi="Arial Narrow"/>
          <w:b/>
          <w:bCs/>
          <w:color w:val="000000"/>
        </w:rPr>
        <w:t>Несигурност на счетоводните приблизителни оценки</w:t>
      </w:r>
    </w:p>
    <w:p w:rsidR="00423ED3" w:rsidRPr="0017792B" w:rsidRDefault="00423ED3" w:rsidP="00423ED3">
      <w:pPr>
        <w:jc w:val="both"/>
        <w:rPr>
          <w:rFonts w:ascii="Arial Narrow" w:hAnsi="Arial Narrow"/>
        </w:rPr>
      </w:pPr>
    </w:p>
    <w:p w:rsidR="00423ED3" w:rsidRPr="0017792B" w:rsidRDefault="00423ED3" w:rsidP="00423ED3">
      <w:pPr>
        <w:jc w:val="both"/>
        <w:rPr>
          <w:rFonts w:ascii="Arial Narrow" w:hAnsi="Arial Narrow"/>
        </w:rPr>
      </w:pPr>
      <w:r w:rsidRPr="0017792B">
        <w:rPr>
          <w:rFonts w:ascii="Arial Narrow" w:hAnsi="Arial Narrow"/>
        </w:rPr>
        <w:t>При изготвянето на финансовия отчет ръководството прави редица предположения, оценки и допускания относно признаването и оценяването на активи, пасиви, приходи и разходи.</w:t>
      </w:r>
    </w:p>
    <w:p w:rsidR="00423ED3" w:rsidRPr="0017792B" w:rsidRDefault="00423ED3" w:rsidP="00423ED3">
      <w:pPr>
        <w:jc w:val="both"/>
        <w:rPr>
          <w:rFonts w:ascii="Arial Narrow" w:hAnsi="Arial Narrow"/>
        </w:rPr>
      </w:pPr>
    </w:p>
    <w:p w:rsidR="00423ED3" w:rsidRPr="0017792B" w:rsidRDefault="00423ED3" w:rsidP="00423ED3">
      <w:pPr>
        <w:jc w:val="both"/>
        <w:rPr>
          <w:rFonts w:ascii="Arial Narrow" w:hAnsi="Arial Narrow"/>
        </w:rPr>
      </w:pPr>
      <w:r w:rsidRPr="0017792B">
        <w:rPr>
          <w:rFonts w:ascii="Arial Narrow" w:hAnsi="Arial Narrow"/>
        </w:rPr>
        <w:t xml:space="preserve">Действителните резултати могат да се различават от предположенията, оценките и допусканията на ръководството и в редки случаи съответстват напълно на предварително оценените резултати.  </w:t>
      </w:r>
    </w:p>
    <w:p w:rsidR="00423ED3" w:rsidRPr="0017792B" w:rsidRDefault="00423ED3" w:rsidP="00423ED3">
      <w:pPr>
        <w:jc w:val="both"/>
        <w:rPr>
          <w:rFonts w:ascii="Arial Narrow" w:hAnsi="Arial Narrow"/>
        </w:rPr>
      </w:pPr>
    </w:p>
    <w:p w:rsidR="00423ED3" w:rsidRPr="0017792B" w:rsidRDefault="00423ED3" w:rsidP="00423ED3">
      <w:pPr>
        <w:jc w:val="both"/>
        <w:rPr>
          <w:rFonts w:ascii="Arial Narrow" w:hAnsi="Arial Narrow"/>
        </w:rPr>
      </w:pPr>
      <w:r w:rsidRPr="0017792B">
        <w:rPr>
          <w:rFonts w:ascii="Arial Narrow" w:hAnsi="Arial Narrow"/>
        </w:rPr>
        <w:t xml:space="preserve">Информация относно съществените предположения, оценки и допускания, които оказват най-значително влияние върху признаването и оценяването на активи, пасиви, приходи и разходи е представена по-долу. </w:t>
      </w:r>
    </w:p>
    <w:p w:rsidR="00423ED3" w:rsidRPr="0017792B" w:rsidRDefault="00423ED3" w:rsidP="00423ED3">
      <w:pPr>
        <w:autoSpaceDE w:val="0"/>
        <w:autoSpaceDN w:val="0"/>
        <w:adjustRightInd w:val="0"/>
        <w:jc w:val="both"/>
        <w:rPr>
          <w:rFonts w:ascii="Arial Narrow" w:hAnsi="Arial Narrow"/>
          <w:color w:val="000000"/>
          <w:lang w:eastAsia="de-DE"/>
        </w:rPr>
      </w:pPr>
    </w:p>
    <w:p w:rsidR="00423ED3" w:rsidRPr="0017792B" w:rsidRDefault="00423ED3" w:rsidP="00423ED3">
      <w:pPr>
        <w:autoSpaceDE w:val="0"/>
        <w:autoSpaceDN w:val="0"/>
        <w:adjustRightInd w:val="0"/>
        <w:jc w:val="both"/>
        <w:rPr>
          <w:rFonts w:ascii="Arial Narrow" w:hAnsi="Arial Narrow"/>
          <w:color w:val="000000"/>
          <w:lang w:eastAsia="de-DE"/>
        </w:rPr>
      </w:pPr>
    </w:p>
    <w:p w:rsidR="00423ED3" w:rsidRPr="0017792B" w:rsidRDefault="00423ED3" w:rsidP="00423ED3">
      <w:pPr>
        <w:autoSpaceDE w:val="0"/>
        <w:autoSpaceDN w:val="0"/>
        <w:adjustRightInd w:val="0"/>
        <w:jc w:val="both"/>
        <w:rPr>
          <w:rFonts w:ascii="Arial Narrow" w:hAnsi="Arial Narrow"/>
          <w:color w:val="000000"/>
          <w:lang w:eastAsia="de-DE"/>
        </w:rPr>
      </w:pPr>
    </w:p>
    <w:p w:rsidR="00423ED3" w:rsidRPr="0017792B" w:rsidRDefault="00423ED3" w:rsidP="00423ED3">
      <w:pPr>
        <w:keepNext/>
        <w:numPr>
          <w:ilvl w:val="1"/>
          <w:numId w:val="1"/>
        </w:numPr>
        <w:autoSpaceDE w:val="0"/>
        <w:autoSpaceDN w:val="0"/>
        <w:adjustRightInd w:val="0"/>
        <w:spacing w:line="360" w:lineRule="auto"/>
        <w:outlineLvl w:val="1"/>
        <w:rPr>
          <w:rFonts w:ascii="Arial Narrow" w:hAnsi="Arial Narrow"/>
          <w:b/>
          <w:bCs/>
          <w:color w:val="000000"/>
          <w:szCs w:val="22"/>
          <w:lang w:val="en-US" w:eastAsia="de-DE"/>
        </w:rPr>
      </w:pPr>
      <w:proofErr w:type="spellStart"/>
      <w:r w:rsidRPr="0017792B">
        <w:rPr>
          <w:rFonts w:ascii="Arial Narrow" w:hAnsi="Arial Narrow"/>
          <w:b/>
          <w:bCs/>
          <w:color w:val="000000"/>
          <w:szCs w:val="22"/>
          <w:lang w:val="en-US" w:eastAsia="de-DE"/>
        </w:rPr>
        <w:t>Полезен</w:t>
      </w:r>
      <w:proofErr w:type="spellEnd"/>
      <w:r w:rsidRPr="0017792B">
        <w:rPr>
          <w:rFonts w:ascii="Arial Narrow" w:hAnsi="Arial Narrow"/>
          <w:b/>
          <w:bCs/>
          <w:color w:val="000000"/>
          <w:szCs w:val="22"/>
          <w:lang w:val="en-US" w:eastAsia="de-DE"/>
        </w:rPr>
        <w:t xml:space="preserve"> </w:t>
      </w:r>
      <w:proofErr w:type="spellStart"/>
      <w:r w:rsidRPr="0017792B">
        <w:rPr>
          <w:rFonts w:ascii="Arial Narrow" w:hAnsi="Arial Narrow"/>
          <w:b/>
          <w:bCs/>
          <w:color w:val="000000"/>
          <w:szCs w:val="22"/>
          <w:lang w:val="en-US" w:eastAsia="de-DE"/>
        </w:rPr>
        <w:t>живот</w:t>
      </w:r>
      <w:proofErr w:type="spellEnd"/>
      <w:r w:rsidRPr="0017792B">
        <w:rPr>
          <w:rFonts w:ascii="Arial Narrow" w:hAnsi="Arial Narrow"/>
          <w:b/>
          <w:bCs/>
          <w:color w:val="000000"/>
          <w:szCs w:val="22"/>
          <w:lang w:val="en-US" w:eastAsia="de-DE"/>
        </w:rPr>
        <w:t xml:space="preserve"> </w:t>
      </w:r>
      <w:proofErr w:type="spellStart"/>
      <w:r w:rsidRPr="0017792B">
        <w:rPr>
          <w:rFonts w:ascii="Arial Narrow" w:hAnsi="Arial Narrow"/>
          <w:b/>
          <w:bCs/>
          <w:color w:val="000000"/>
          <w:szCs w:val="22"/>
          <w:lang w:val="en-US" w:eastAsia="de-DE"/>
        </w:rPr>
        <w:t>на</w:t>
      </w:r>
      <w:proofErr w:type="spellEnd"/>
      <w:r w:rsidRPr="0017792B">
        <w:rPr>
          <w:rFonts w:ascii="Arial Narrow" w:hAnsi="Arial Narrow"/>
          <w:b/>
          <w:bCs/>
          <w:color w:val="000000"/>
          <w:szCs w:val="22"/>
          <w:lang w:val="en-US" w:eastAsia="de-DE"/>
        </w:rPr>
        <w:t xml:space="preserve"> </w:t>
      </w:r>
      <w:proofErr w:type="spellStart"/>
      <w:r w:rsidRPr="0017792B">
        <w:rPr>
          <w:rFonts w:ascii="Arial Narrow" w:hAnsi="Arial Narrow"/>
          <w:b/>
          <w:bCs/>
          <w:color w:val="000000"/>
          <w:szCs w:val="22"/>
          <w:lang w:val="en-US" w:eastAsia="de-DE"/>
        </w:rPr>
        <w:t>амортизируемите</w:t>
      </w:r>
      <w:proofErr w:type="spellEnd"/>
      <w:r w:rsidRPr="0017792B">
        <w:rPr>
          <w:rFonts w:ascii="Arial Narrow" w:hAnsi="Arial Narrow"/>
          <w:b/>
          <w:bCs/>
          <w:color w:val="000000"/>
          <w:szCs w:val="22"/>
          <w:lang w:val="en-US" w:eastAsia="de-DE"/>
        </w:rPr>
        <w:t xml:space="preserve"> </w:t>
      </w:r>
      <w:proofErr w:type="spellStart"/>
      <w:r w:rsidRPr="0017792B">
        <w:rPr>
          <w:rFonts w:ascii="Arial Narrow" w:hAnsi="Arial Narrow"/>
          <w:b/>
          <w:bCs/>
          <w:color w:val="000000"/>
          <w:szCs w:val="22"/>
          <w:lang w:val="en-US" w:eastAsia="de-DE"/>
        </w:rPr>
        <w:t>активи</w:t>
      </w:r>
      <w:proofErr w:type="spellEnd"/>
    </w:p>
    <w:p w:rsidR="00423ED3" w:rsidRPr="0017792B" w:rsidRDefault="00423ED3" w:rsidP="00423ED3">
      <w:pPr>
        <w:jc w:val="both"/>
        <w:rPr>
          <w:rFonts w:ascii="Arial Narrow" w:hAnsi="Arial Narrow"/>
          <w:lang w:eastAsia="de-DE"/>
        </w:rPr>
      </w:pPr>
    </w:p>
    <w:p w:rsidR="00423ED3" w:rsidRPr="0017792B" w:rsidRDefault="00423ED3" w:rsidP="00423ED3">
      <w:pPr>
        <w:autoSpaceDE w:val="0"/>
        <w:autoSpaceDN w:val="0"/>
        <w:adjustRightInd w:val="0"/>
        <w:jc w:val="both"/>
        <w:rPr>
          <w:rFonts w:ascii="Arial Narrow" w:hAnsi="Arial Narrow" w:cs="Garamond"/>
          <w:szCs w:val="22"/>
        </w:rPr>
      </w:pPr>
      <w:r w:rsidRPr="0017792B">
        <w:rPr>
          <w:rFonts w:ascii="Arial Narrow" w:hAnsi="Arial Narrow" w:cs="Garamond"/>
          <w:szCs w:val="22"/>
        </w:rPr>
        <w:t xml:space="preserve">Ръководството преразглежда полезния живот на </w:t>
      </w:r>
      <w:proofErr w:type="spellStart"/>
      <w:r w:rsidRPr="0017792B">
        <w:rPr>
          <w:rFonts w:ascii="Arial Narrow" w:hAnsi="Arial Narrow" w:cs="Garamond"/>
          <w:szCs w:val="22"/>
        </w:rPr>
        <w:t>амортизируемите</w:t>
      </w:r>
      <w:proofErr w:type="spellEnd"/>
      <w:r w:rsidRPr="0017792B">
        <w:rPr>
          <w:rFonts w:ascii="Arial Narrow" w:hAnsi="Arial Narrow" w:cs="Garamond"/>
          <w:szCs w:val="22"/>
        </w:rPr>
        <w:t xml:space="preserve"> активи в края на всеки отчетен период. Към 3</w:t>
      </w:r>
      <w:r w:rsidRPr="0017792B">
        <w:rPr>
          <w:rFonts w:ascii="Arial Narrow" w:hAnsi="Arial Narrow" w:cs="Garamond"/>
          <w:szCs w:val="22"/>
          <w:lang w:val="en-US"/>
        </w:rPr>
        <w:t>1</w:t>
      </w:r>
      <w:r w:rsidRPr="0017792B">
        <w:rPr>
          <w:rFonts w:ascii="Arial Narrow" w:hAnsi="Arial Narrow" w:cs="Garamond"/>
          <w:szCs w:val="22"/>
        </w:rPr>
        <w:t xml:space="preserve"> </w:t>
      </w:r>
      <w:r>
        <w:rPr>
          <w:rFonts w:ascii="Arial Narrow" w:hAnsi="Arial Narrow" w:cs="Garamond"/>
          <w:szCs w:val="22"/>
        </w:rPr>
        <w:t>март</w:t>
      </w:r>
      <w:r w:rsidRPr="0017792B">
        <w:rPr>
          <w:rFonts w:ascii="Arial Narrow" w:hAnsi="Arial Narrow" w:cs="Garamond"/>
          <w:szCs w:val="22"/>
        </w:rPr>
        <w:t xml:space="preserve"> 201</w:t>
      </w:r>
      <w:r>
        <w:rPr>
          <w:rFonts w:ascii="Arial Narrow" w:hAnsi="Arial Narrow" w:cs="Garamond"/>
          <w:szCs w:val="22"/>
        </w:rPr>
        <w:t>6</w:t>
      </w:r>
      <w:r w:rsidRPr="0017792B">
        <w:rPr>
          <w:rFonts w:ascii="Arial Narrow" w:hAnsi="Arial Narrow" w:cs="Garamond"/>
          <w:szCs w:val="22"/>
        </w:rPr>
        <w:t xml:space="preserve"> г. ръководството определя полезния живот на активите, който представлява очакваният срок на ползване на активите от Дружеството. Балансовите стойности на активите са анализирани в пояснения </w:t>
      </w:r>
      <w:r>
        <w:rPr>
          <w:rFonts w:ascii="Arial Narrow" w:hAnsi="Arial Narrow" w:cs="Garamond"/>
          <w:szCs w:val="22"/>
        </w:rPr>
        <w:t>.</w:t>
      </w:r>
      <w:r w:rsidRPr="0017792B">
        <w:rPr>
          <w:rFonts w:ascii="Arial Narrow" w:hAnsi="Arial Narrow" w:cs="Garamond"/>
          <w:szCs w:val="22"/>
        </w:rPr>
        <w:t>Действителният полезен живот може да се различава от направената оценка поради техническо и морално изхабяване, предимно на софтуерни продукти и компютърно оборудване.</w:t>
      </w:r>
    </w:p>
    <w:p w:rsidR="00423ED3" w:rsidRDefault="00423ED3">
      <w:pPr>
        <w:rPr>
          <w:lang w:val="en-US"/>
        </w:rPr>
      </w:pPr>
    </w:p>
    <w:p w:rsidR="00423ED3" w:rsidRDefault="00423ED3">
      <w:pPr>
        <w:rPr>
          <w:lang w:val="en-US"/>
        </w:rPr>
      </w:pPr>
      <w:bookmarkStart w:id="40" w:name="_GoBack"/>
      <w:bookmarkEnd w:id="40"/>
    </w:p>
    <w:p w:rsidR="00423ED3" w:rsidRDefault="00423ED3">
      <w:pPr>
        <w:rPr>
          <w:lang w:val="en-US"/>
        </w:rPr>
      </w:pPr>
    </w:p>
    <w:p w:rsidR="00423ED3" w:rsidRDefault="00423ED3">
      <w:pPr>
        <w:rPr>
          <w:lang w:val="en-US"/>
        </w:rPr>
      </w:pPr>
    </w:p>
    <w:p w:rsidR="00423ED3" w:rsidRDefault="00423ED3">
      <w:pPr>
        <w:rPr>
          <w:lang w:val="en-US"/>
        </w:rPr>
      </w:pPr>
    </w:p>
    <w:p w:rsidR="00423ED3" w:rsidRDefault="00423ED3" w:rsidP="00423ED3">
      <w:r>
        <w:t>Изготвил: ........................</w:t>
      </w:r>
      <w:r>
        <w:tab/>
      </w:r>
      <w:r>
        <w:tab/>
      </w:r>
      <w:r>
        <w:tab/>
      </w:r>
      <w:r>
        <w:tab/>
        <w:t>Председател на СД: ............................</w:t>
      </w:r>
    </w:p>
    <w:p w:rsidR="00423ED3" w:rsidRDefault="00423ED3" w:rsidP="00423ED3">
      <w:r>
        <w:t xml:space="preserve">              /Георги Манев/</w:t>
      </w:r>
      <w:r>
        <w:tab/>
      </w:r>
      <w:r>
        <w:tab/>
      </w:r>
      <w:r>
        <w:tab/>
      </w:r>
      <w:r>
        <w:tab/>
      </w:r>
      <w:r>
        <w:tab/>
      </w:r>
      <w:r>
        <w:tab/>
      </w:r>
      <w:r>
        <w:tab/>
        <w:t xml:space="preserve">/Виктор </w:t>
      </w:r>
      <w:proofErr w:type="spellStart"/>
      <w:r>
        <w:t>Серов</w:t>
      </w:r>
      <w:proofErr w:type="spellEnd"/>
      <w:r>
        <w:t>/</w:t>
      </w:r>
    </w:p>
    <w:p w:rsidR="00423ED3" w:rsidRPr="00423ED3" w:rsidRDefault="00423ED3">
      <w:pPr>
        <w:rPr>
          <w:lang w:val="en-US"/>
        </w:rPr>
      </w:pPr>
    </w:p>
    <w:sectPr w:rsidR="00423ED3" w:rsidRPr="00423ED3">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PTime-Bold">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6253E"/>
    <w:multiLevelType w:val="multilevel"/>
    <w:tmpl w:val="386269A6"/>
    <w:lvl w:ilvl="0">
      <w:start w:val="1"/>
      <w:numFmt w:val="decimal"/>
      <w:pStyle w:val="Heading1"/>
      <w:lvlText w:val="%1"/>
      <w:lvlJc w:val="left"/>
      <w:pPr>
        <w:tabs>
          <w:tab w:val="num" w:pos="464"/>
        </w:tabs>
        <w:ind w:left="464" w:hanging="432"/>
      </w:pPr>
      <w:rPr>
        <w:rFonts w:hint="default"/>
      </w:rPr>
    </w:lvl>
    <w:lvl w:ilvl="1">
      <w:start w:val="1"/>
      <w:numFmt w:val="decimal"/>
      <w:pStyle w:val="Heading2"/>
      <w:lvlText w:val="%1.%2"/>
      <w:lvlJc w:val="left"/>
      <w:pPr>
        <w:tabs>
          <w:tab w:val="num" w:pos="936"/>
        </w:tabs>
        <w:ind w:left="936" w:hanging="576"/>
      </w:pPr>
      <w:rPr>
        <w:rFonts w:ascii="Arial Narrow" w:hAnsi="Arial Narrow" w:hint="default"/>
        <w:color w:val="auto"/>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nsid w:val="0B4E7291"/>
    <w:multiLevelType w:val="hybridMultilevel"/>
    <w:tmpl w:val="F64679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D665774"/>
    <w:multiLevelType w:val="hybridMultilevel"/>
    <w:tmpl w:val="C67E5B50"/>
    <w:lvl w:ilvl="0" w:tplc="04090001">
      <w:start w:val="1"/>
      <w:numFmt w:val="bullet"/>
      <w:lvlText w:val=""/>
      <w:lvlJc w:val="left"/>
      <w:pPr>
        <w:tabs>
          <w:tab w:val="num" w:pos="720"/>
        </w:tabs>
        <w:ind w:left="720" w:hanging="360"/>
      </w:pPr>
      <w:rPr>
        <w:rFonts w:ascii="Symbol" w:hAnsi="Symbol" w:hint="default"/>
      </w:rPr>
    </w:lvl>
    <w:lvl w:ilvl="1" w:tplc="A47A757E">
      <w:start w:val="200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E0A72B9"/>
    <w:multiLevelType w:val="hybridMultilevel"/>
    <w:tmpl w:val="D7708C6C"/>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ED3"/>
    <w:rsid w:val="00423ED3"/>
    <w:rsid w:val="00CB16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ED3"/>
    <w:pPr>
      <w:spacing w:after="0" w:line="240" w:lineRule="auto"/>
    </w:pPr>
    <w:rPr>
      <w:rFonts w:ascii="Times New Roman" w:eastAsia="Times New Roman" w:hAnsi="Times New Roman" w:cs="Times New Roman"/>
      <w:sz w:val="24"/>
      <w:szCs w:val="24"/>
      <w:lang w:val="bg-BG"/>
    </w:rPr>
  </w:style>
  <w:style w:type="paragraph" w:styleId="Heading1">
    <w:name w:val="heading 1"/>
    <w:basedOn w:val="Normal"/>
    <w:next w:val="Normal"/>
    <w:link w:val="Heading1Char"/>
    <w:qFormat/>
    <w:rsid w:val="00423ED3"/>
    <w:pPr>
      <w:keepNext/>
      <w:numPr>
        <w:numId w:val="1"/>
      </w:numPr>
      <w:autoSpaceDE w:val="0"/>
      <w:autoSpaceDN w:val="0"/>
      <w:adjustRightInd w:val="0"/>
      <w:outlineLvl w:val="0"/>
    </w:pPr>
    <w:rPr>
      <w:rFonts w:ascii="Garamond" w:hAnsi="Garamond"/>
      <w:b/>
      <w:bCs/>
      <w:color w:val="000000"/>
      <w:szCs w:val="40"/>
      <w:lang w:val="en-US"/>
    </w:rPr>
  </w:style>
  <w:style w:type="paragraph" w:styleId="Heading2">
    <w:name w:val="heading 2"/>
    <w:basedOn w:val="Normal"/>
    <w:next w:val="Normal"/>
    <w:link w:val="Heading2Char"/>
    <w:qFormat/>
    <w:rsid w:val="00423ED3"/>
    <w:pPr>
      <w:keepNext/>
      <w:numPr>
        <w:ilvl w:val="1"/>
        <w:numId w:val="1"/>
      </w:numPr>
      <w:autoSpaceDE w:val="0"/>
      <w:autoSpaceDN w:val="0"/>
      <w:adjustRightInd w:val="0"/>
      <w:spacing w:line="360" w:lineRule="auto"/>
      <w:outlineLvl w:val="1"/>
    </w:pPr>
    <w:rPr>
      <w:rFonts w:ascii="Garamond" w:hAnsi="Garamond"/>
      <w:b/>
      <w:bCs/>
      <w:color w:val="000000"/>
      <w:szCs w:val="22"/>
      <w:lang w:val="en-US"/>
    </w:rPr>
  </w:style>
  <w:style w:type="paragraph" w:styleId="Heading3">
    <w:name w:val="heading 3"/>
    <w:basedOn w:val="Normal"/>
    <w:next w:val="Normal"/>
    <w:link w:val="Heading3Char"/>
    <w:qFormat/>
    <w:rsid w:val="00423ED3"/>
    <w:pPr>
      <w:keepNext/>
      <w:numPr>
        <w:ilvl w:val="2"/>
        <w:numId w:val="1"/>
      </w:numPr>
      <w:autoSpaceDE w:val="0"/>
      <w:autoSpaceDN w:val="0"/>
      <w:adjustRightInd w:val="0"/>
      <w:outlineLvl w:val="2"/>
    </w:pPr>
    <w:rPr>
      <w:rFonts w:ascii="Garamond" w:hAnsi="Garamond"/>
      <w:b/>
      <w:bCs/>
      <w:color w:val="000000"/>
      <w:sz w:val="32"/>
      <w:szCs w:val="40"/>
      <w:lang w:val="en-US"/>
    </w:rPr>
  </w:style>
  <w:style w:type="paragraph" w:styleId="Heading4">
    <w:name w:val="heading 4"/>
    <w:basedOn w:val="Normal"/>
    <w:next w:val="Normal"/>
    <w:link w:val="Heading4Char"/>
    <w:qFormat/>
    <w:rsid w:val="00423ED3"/>
    <w:pPr>
      <w:keepNext/>
      <w:numPr>
        <w:ilvl w:val="3"/>
        <w:numId w:val="1"/>
      </w:numPr>
      <w:autoSpaceDE w:val="0"/>
      <w:autoSpaceDN w:val="0"/>
      <w:adjustRightInd w:val="0"/>
      <w:jc w:val="both"/>
      <w:outlineLvl w:val="3"/>
    </w:pPr>
    <w:rPr>
      <w:rFonts w:ascii="Garamond" w:hAnsi="Garamond" w:cs="Arial"/>
      <w:b/>
      <w:bCs/>
      <w:color w:val="000000"/>
      <w:szCs w:val="19"/>
      <w:lang w:val="en-US"/>
    </w:rPr>
  </w:style>
  <w:style w:type="paragraph" w:styleId="Heading5">
    <w:name w:val="heading 5"/>
    <w:basedOn w:val="Normal"/>
    <w:next w:val="Normal"/>
    <w:link w:val="Heading5Char"/>
    <w:qFormat/>
    <w:rsid w:val="00423ED3"/>
    <w:pPr>
      <w:keepNext/>
      <w:numPr>
        <w:ilvl w:val="4"/>
        <w:numId w:val="1"/>
      </w:numPr>
      <w:autoSpaceDE w:val="0"/>
      <w:autoSpaceDN w:val="0"/>
      <w:adjustRightInd w:val="0"/>
      <w:jc w:val="both"/>
      <w:outlineLvl w:val="4"/>
    </w:pPr>
    <w:rPr>
      <w:rFonts w:ascii="Garamond" w:hAnsi="Garamond" w:cs="Arial"/>
      <w:b/>
      <w:bCs/>
      <w:color w:val="000000"/>
      <w:szCs w:val="19"/>
      <w:u w:val="double"/>
      <w:lang w:val="en-US"/>
    </w:rPr>
  </w:style>
  <w:style w:type="paragraph" w:styleId="Heading6">
    <w:name w:val="heading 6"/>
    <w:basedOn w:val="Normal"/>
    <w:next w:val="Normal"/>
    <w:link w:val="Heading6Char"/>
    <w:qFormat/>
    <w:rsid w:val="00423ED3"/>
    <w:pPr>
      <w:keepNext/>
      <w:numPr>
        <w:ilvl w:val="5"/>
        <w:numId w:val="1"/>
      </w:numPr>
      <w:autoSpaceDE w:val="0"/>
      <w:autoSpaceDN w:val="0"/>
      <w:adjustRightInd w:val="0"/>
      <w:jc w:val="center"/>
      <w:outlineLvl w:val="5"/>
    </w:pPr>
    <w:rPr>
      <w:rFonts w:ascii="Garamond" w:hAnsi="Garamond" w:cs="Arial"/>
      <w:b/>
      <w:bCs/>
      <w:color w:val="000000"/>
      <w:szCs w:val="19"/>
      <w:lang w:val="en-US"/>
    </w:rPr>
  </w:style>
  <w:style w:type="paragraph" w:styleId="Heading7">
    <w:name w:val="heading 7"/>
    <w:basedOn w:val="Normal"/>
    <w:next w:val="Normal"/>
    <w:link w:val="Heading7Char"/>
    <w:qFormat/>
    <w:rsid w:val="00423ED3"/>
    <w:pPr>
      <w:keepNext/>
      <w:numPr>
        <w:ilvl w:val="6"/>
        <w:numId w:val="1"/>
      </w:numPr>
      <w:autoSpaceDE w:val="0"/>
      <w:autoSpaceDN w:val="0"/>
      <w:adjustRightInd w:val="0"/>
      <w:outlineLvl w:val="6"/>
    </w:pPr>
    <w:rPr>
      <w:rFonts w:ascii="Garamond" w:hAnsi="Garamond"/>
      <w:b/>
      <w:bCs/>
      <w:szCs w:val="19"/>
      <w:lang w:val="en-US"/>
    </w:rPr>
  </w:style>
  <w:style w:type="paragraph" w:styleId="Heading8">
    <w:name w:val="heading 8"/>
    <w:basedOn w:val="Normal"/>
    <w:next w:val="Normal"/>
    <w:link w:val="Heading8Char"/>
    <w:qFormat/>
    <w:rsid w:val="00423ED3"/>
    <w:pPr>
      <w:keepNext/>
      <w:numPr>
        <w:ilvl w:val="7"/>
        <w:numId w:val="1"/>
      </w:numPr>
      <w:autoSpaceDE w:val="0"/>
      <w:autoSpaceDN w:val="0"/>
      <w:adjustRightInd w:val="0"/>
      <w:ind w:right="-108"/>
      <w:jc w:val="right"/>
      <w:outlineLvl w:val="7"/>
    </w:pPr>
    <w:rPr>
      <w:rFonts w:ascii="Garamond" w:hAnsi="Garamond" w:cs="Arial"/>
      <w:b/>
      <w:bCs/>
      <w:color w:val="000000"/>
      <w:sz w:val="22"/>
      <w:szCs w:val="19"/>
      <w:lang w:val="en-US"/>
    </w:rPr>
  </w:style>
  <w:style w:type="paragraph" w:styleId="Heading9">
    <w:name w:val="heading 9"/>
    <w:basedOn w:val="Normal"/>
    <w:next w:val="Normal"/>
    <w:link w:val="Heading9Char"/>
    <w:qFormat/>
    <w:rsid w:val="00423ED3"/>
    <w:pPr>
      <w:keepNext/>
      <w:numPr>
        <w:ilvl w:val="8"/>
        <w:numId w:val="1"/>
      </w:numPr>
      <w:autoSpaceDE w:val="0"/>
      <w:autoSpaceDN w:val="0"/>
      <w:adjustRightInd w:val="0"/>
      <w:jc w:val="right"/>
      <w:outlineLvl w:val="8"/>
    </w:pPr>
    <w:rPr>
      <w:rFonts w:ascii="Garamond" w:hAnsi="Garamond"/>
      <w:b/>
      <w:bCs/>
      <w:szCs w:val="19"/>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3ED3"/>
    <w:rPr>
      <w:rFonts w:ascii="Garamond" w:eastAsia="Times New Roman" w:hAnsi="Garamond" w:cs="Times New Roman"/>
      <w:b/>
      <w:bCs/>
      <w:color w:val="000000"/>
      <w:sz w:val="24"/>
      <w:szCs w:val="40"/>
    </w:rPr>
  </w:style>
  <w:style w:type="character" w:customStyle="1" w:styleId="Heading2Char">
    <w:name w:val="Heading 2 Char"/>
    <w:basedOn w:val="DefaultParagraphFont"/>
    <w:link w:val="Heading2"/>
    <w:rsid w:val="00423ED3"/>
    <w:rPr>
      <w:rFonts w:ascii="Garamond" w:eastAsia="Times New Roman" w:hAnsi="Garamond" w:cs="Times New Roman"/>
      <w:b/>
      <w:bCs/>
      <w:color w:val="000000"/>
      <w:sz w:val="24"/>
    </w:rPr>
  </w:style>
  <w:style w:type="character" w:customStyle="1" w:styleId="Heading3Char">
    <w:name w:val="Heading 3 Char"/>
    <w:basedOn w:val="DefaultParagraphFont"/>
    <w:link w:val="Heading3"/>
    <w:rsid w:val="00423ED3"/>
    <w:rPr>
      <w:rFonts w:ascii="Garamond" w:eastAsia="Times New Roman" w:hAnsi="Garamond" w:cs="Times New Roman"/>
      <w:b/>
      <w:bCs/>
      <w:color w:val="000000"/>
      <w:sz w:val="32"/>
      <w:szCs w:val="40"/>
    </w:rPr>
  </w:style>
  <w:style w:type="character" w:customStyle="1" w:styleId="Heading4Char">
    <w:name w:val="Heading 4 Char"/>
    <w:basedOn w:val="DefaultParagraphFont"/>
    <w:link w:val="Heading4"/>
    <w:rsid w:val="00423ED3"/>
    <w:rPr>
      <w:rFonts w:ascii="Garamond" w:eastAsia="Times New Roman" w:hAnsi="Garamond" w:cs="Arial"/>
      <w:b/>
      <w:bCs/>
      <w:color w:val="000000"/>
      <w:sz w:val="24"/>
      <w:szCs w:val="19"/>
    </w:rPr>
  </w:style>
  <w:style w:type="character" w:customStyle="1" w:styleId="Heading5Char">
    <w:name w:val="Heading 5 Char"/>
    <w:basedOn w:val="DefaultParagraphFont"/>
    <w:link w:val="Heading5"/>
    <w:rsid w:val="00423ED3"/>
    <w:rPr>
      <w:rFonts w:ascii="Garamond" w:eastAsia="Times New Roman" w:hAnsi="Garamond" w:cs="Arial"/>
      <w:b/>
      <w:bCs/>
      <w:color w:val="000000"/>
      <w:sz w:val="24"/>
      <w:szCs w:val="19"/>
      <w:u w:val="double"/>
    </w:rPr>
  </w:style>
  <w:style w:type="character" w:customStyle="1" w:styleId="Heading6Char">
    <w:name w:val="Heading 6 Char"/>
    <w:basedOn w:val="DefaultParagraphFont"/>
    <w:link w:val="Heading6"/>
    <w:rsid w:val="00423ED3"/>
    <w:rPr>
      <w:rFonts w:ascii="Garamond" w:eastAsia="Times New Roman" w:hAnsi="Garamond" w:cs="Arial"/>
      <w:b/>
      <w:bCs/>
      <w:color w:val="000000"/>
      <w:sz w:val="24"/>
      <w:szCs w:val="19"/>
    </w:rPr>
  </w:style>
  <w:style w:type="character" w:customStyle="1" w:styleId="Heading7Char">
    <w:name w:val="Heading 7 Char"/>
    <w:basedOn w:val="DefaultParagraphFont"/>
    <w:link w:val="Heading7"/>
    <w:rsid w:val="00423ED3"/>
    <w:rPr>
      <w:rFonts w:ascii="Garamond" w:eastAsia="Times New Roman" w:hAnsi="Garamond" w:cs="Times New Roman"/>
      <w:b/>
      <w:bCs/>
      <w:sz w:val="24"/>
      <w:szCs w:val="19"/>
    </w:rPr>
  </w:style>
  <w:style w:type="character" w:customStyle="1" w:styleId="Heading8Char">
    <w:name w:val="Heading 8 Char"/>
    <w:basedOn w:val="DefaultParagraphFont"/>
    <w:link w:val="Heading8"/>
    <w:rsid w:val="00423ED3"/>
    <w:rPr>
      <w:rFonts w:ascii="Garamond" w:eastAsia="Times New Roman" w:hAnsi="Garamond" w:cs="Arial"/>
      <w:b/>
      <w:bCs/>
      <w:color w:val="000000"/>
      <w:szCs w:val="19"/>
    </w:rPr>
  </w:style>
  <w:style w:type="character" w:customStyle="1" w:styleId="Heading9Char">
    <w:name w:val="Heading 9 Char"/>
    <w:basedOn w:val="DefaultParagraphFont"/>
    <w:link w:val="Heading9"/>
    <w:rsid w:val="00423ED3"/>
    <w:rPr>
      <w:rFonts w:ascii="Garamond" w:eastAsia="Times New Roman" w:hAnsi="Garamond" w:cs="Times New Roman"/>
      <w:b/>
      <w:bCs/>
      <w:sz w:val="24"/>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ED3"/>
    <w:pPr>
      <w:spacing w:after="0" w:line="240" w:lineRule="auto"/>
    </w:pPr>
    <w:rPr>
      <w:rFonts w:ascii="Times New Roman" w:eastAsia="Times New Roman" w:hAnsi="Times New Roman" w:cs="Times New Roman"/>
      <w:sz w:val="24"/>
      <w:szCs w:val="24"/>
      <w:lang w:val="bg-BG"/>
    </w:rPr>
  </w:style>
  <w:style w:type="paragraph" w:styleId="Heading1">
    <w:name w:val="heading 1"/>
    <w:basedOn w:val="Normal"/>
    <w:next w:val="Normal"/>
    <w:link w:val="Heading1Char"/>
    <w:qFormat/>
    <w:rsid w:val="00423ED3"/>
    <w:pPr>
      <w:keepNext/>
      <w:numPr>
        <w:numId w:val="1"/>
      </w:numPr>
      <w:autoSpaceDE w:val="0"/>
      <w:autoSpaceDN w:val="0"/>
      <w:adjustRightInd w:val="0"/>
      <w:outlineLvl w:val="0"/>
    </w:pPr>
    <w:rPr>
      <w:rFonts w:ascii="Garamond" w:hAnsi="Garamond"/>
      <w:b/>
      <w:bCs/>
      <w:color w:val="000000"/>
      <w:szCs w:val="40"/>
      <w:lang w:val="en-US"/>
    </w:rPr>
  </w:style>
  <w:style w:type="paragraph" w:styleId="Heading2">
    <w:name w:val="heading 2"/>
    <w:basedOn w:val="Normal"/>
    <w:next w:val="Normal"/>
    <w:link w:val="Heading2Char"/>
    <w:qFormat/>
    <w:rsid w:val="00423ED3"/>
    <w:pPr>
      <w:keepNext/>
      <w:numPr>
        <w:ilvl w:val="1"/>
        <w:numId w:val="1"/>
      </w:numPr>
      <w:autoSpaceDE w:val="0"/>
      <w:autoSpaceDN w:val="0"/>
      <w:adjustRightInd w:val="0"/>
      <w:spacing w:line="360" w:lineRule="auto"/>
      <w:outlineLvl w:val="1"/>
    </w:pPr>
    <w:rPr>
      <w:rFonts w:ascii="Garamond" w:hAnsi="Garamond"/>
      <w:b/>
      <w:bCs/>
      <w:color w:val="000000"/>
      <w:szCs w:val="22"/>
      <w:lang w:val="en-US"/>
    </w:rPr>
  </w:style>
  <w:style w:type="paragraph" w:styleId="Heading3">
    <w:name w:val="heading 3"/>
    <w:basedOn w:val="Normal"/>
    <w:next w:val="Normal"/>
    <w:link w:val="Heading3Char"/>
    <w:qFormat/>
    <w:rsid w:val="00423ED3"/>
    <w:pPr>
      <w:keepNext/>
      <w:numPr>
        <w:ilvl w:val="2"/>
        <w:numId w:val="1"/>
      </w:numPr>
      <w:autoSpaceDE w:val="0"/>
      <w:autoSpaceDN w:val="0"/>
      <w:adjustRightInd w:val="0"/>
      <w:outlineLvl w:val="2"/>
    </w:pPr>
    <w:rPr>
      <w:rFonts w:ascii="Garamond" w:hAnsi="Garamond"/>
      <w:b/>
      <w:bCs/>
      <w:color w:val="000000"/>
      <w:sz w:val="32"/>
      <w:szCs w:val="40"/>
      <w:lang w:val="en-US"/>
    </w:rPr>
  </w:style>
  <w:style w:type="paragraph" w:styleId="Heading4">
    <w:name w:val="heading 4"/>
    <w:basedOn w:val="Normal"/>
    <w:next w:val="Normal"/>
    <w:link w:val="Heading4Char"/>
    <w:qFormat/>
    <w:rsid w:val="00423ED3"/>
    <w:pPr>
      <w:keepNext/>
      <w:numPr>
        <w:ilvl w:val="3"/>
        <w:numId w:val="1"/>
      </w:numPr>
      <w:autoSpaceDE w:val="0"/>
      <w:autoSpaceDN w:val="0"/>
      <w:adjustRightInd w:val="0"/>
      <w:jc w:val="both"/>
      <w:outlineLvl w:val="3"/>
    </w:pPr>
    <w:rPr>
      <w:rFonts w:ascii="Garamond" w:hAnsi="Garamond" w:cs="Arial"/>
      <w:b/>
      <w:bCs/>
      <w:color w:val="000000"/>
      <w:szCs w:val="19"/>
      <w:lang w:val="en-US"/>
    </w:rPr>
  </w:style>
  <w:style w:type="paragraph" w:styleId="Heading5">
    <w:name w:val="heading 5"/>
    <w:basedOn w:val="Normal"/>
    <w:next w:val="Normal"/>
    <w:link w:val="Heading5Char"/>
    <w:qFormat/>
    <w:rsid w:val="00423ED3"/>
    <w:pPr>
      <w:keepNext/>
      <w:numPr>
        <w:ilvl w:val="4"/>
        <w:numId w:val="1"/>
      </w:numPr>
      <w:autoSpaceDE w:val="0"/>
      <w:autoSpaceDN w:val="0"/>
      <w:adjustRightInd w:val="0"/>
      <w:jc w:val="both"/>
      <w:outlineLvl w:val="4"/>
    </w:pPr>
    <w:rPr>
      <w:rFonts w:ascii="Garamond" w:hAnsi="Garamond" w:cs="Arial"/>
      <w:b/>
      <w:bCs/>
      <w:color w:val="000000"/>
      <w:szCs w:val="19"/>
      <w:u w:val="double"/>
      <w:lang w:val="en-US"/>
    </w:rPr>
  </w:style>
  <w:style w:type="paragraph" w:styleId="Heading6">
    <w:name w:val="heading 6"/>
    <w:basedOn w:val="Normal"/>
    <w:next w:val="Normal"/>
    <w:link w:val="Heading6Char"/>
    <w:qFormat/>
    <w:rsid w:val="00423ED3"/>
    <w:pPr>
      <w:keepNext/>
      <w:numPr>
        <w:ilvl w:val="5"/>
        <w:numId w:val="1"/>
      </w:numPr>
      <w:autoSpaceDE w:val="0"/>
      <w:autoSpaceDN w:val="0"/>
      <w:adjustRightInd w:val="0"/>
      <w:jc w:val="center"/>
      <w:outlineLvl w:val="5"/>
    </w:pPr>
    <w:rPr>
      <w:rFonts w:ascii="Garamond" w:hAnsi="Garamond" w:cs="Arial"/>
      <w:b/>
      <w:bCs/>
      <w:color w:val="000000"/>
      <w:szCs w:val="19"/>
      <w:lang w:val="en-US"/>
    </w:rPr>
  </w:style>
  <w:style w:type="paragraph" w:styleId="Heading7">
    <w:name w:val="heading 7"/>
    <w:basedOn w:val="Normal"/>
    <w:next w:val="Normal"/>
    <w:link w:val="Heading7Char"/>
    <w:qFormat/>
    <w:rsid w:val="00423ED3"/>
    <w:pPr>
      <w:keepNext/>
      <w:numPr>
        <w:ilvl w:val="6"/>
        <w:numId w:val="1"/>
      </w:numPr>
      <w:autoSpaceDE w:val="0"/>
      <w:autoSpaceDN w:val="0"/>
      <w:adjustRightInd w:val="0"/>
      <w:outlineLvl w:val="6"/>
    </w:pPr>
    <w:rPr>
      <w:rFonts w:ascii="Garamond" w:hAnsi="Garamond"/>
      <w:b/>
      <w:bCs/>
      <w:szCs w:val="19"/>
      <w:lang w:val="en-US"/>
    </w:rPr>
  </w:style>
  <w:style w:type="paragraph" w:styleId="Heading8">
    <w:name w:val="heading 8"/>
    <w:basedOn w:val="Normal"/>
    <w:next w:val="Normal"/>
    <w:link w:val="Heading8Char"/>
    <w:qFormat/>
    <w:rsid w:val="00423ED3"/>
    <w:pPr>
      <w:keepNext/>
      <w:numPr>
        <w:ilvl w:val="7"/>
        <w:numId w:val="1"/>
      </w:numPr>
      <w:autoSpaceDE w:val="0"/>
      <w:autoSpaceDN w:val="0"/>
      <w:adjustRightInd w:val="0"/>
      <w:ind w:right="-108"/>
      <w:jc w:val="right"/>
      <w:outlineLvl w:val="7"/>
    </w:pPr>
    <w:rPr>
      <w:rFonts w:ascii="Garamond" w:hAnsi="Garamond" w:cs="Arial"/>
      <w:b/>
      <w:bCs/>
      <w:color w:val="000000"/>
      <w:sz w:val="22"/>
      <w:szCs w:val="19"/>
      <w:lang w:val="en-US"/>
    </w:rPr>
  </w:style>
  <w:style w:type="paragraph" w:styleId="Heading9">
    <w:name w:val="heading 9"/>
    <w:basedOn w:val="Normal"/>
    <w:next w:val="Normal"/>
    <w:link w:val="Heading9Char"/>
    <w:qFormat/>
    <w:rsid w:val="00423ED3"/>
    <w:pPr>
      <w:keepNext/>
      <w:numPr>
        <w:ilvl w:val="8"/>
        <w:numId w:val="1"/>
      </w:numPr>
      <w:autoSpaceDE w:val="0"/>
      <w:autoSpaceDN w:val="0"/>
      <w:adjustRightInd w:val="0"/>
      <w:jc w:val="right"/>
      <w:outlineLvl w:val="8"/>
    </w:pPr>
    <w:rPr>
      <w:rFonts w:ascii="Garamond" w:hAnsi="Garamond"/>
      <w:b/>
      <w:bCs/>
      <w:szCs w:val="19"/>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3ED3"/>
    <w:rPr>
      <w:rFonts w:ascii="Garamond" w:eastAsia="Times New Roman" w:hAnsi="Garamond" w:cs="Times New Roman"/>
      <w:b/>
      <w:bCs/>
      <w:color w:val="000000"/>
      <w:sz w:val="24"/>
      <w:szCs w:val="40"/>
    </w:rPr>
  </w:style>
  <w:style w:type="character" w:customStyle="1" w:styleId="Heading2Char">
    <w:name w:val="Heading 2 Char"/>
    <w:basedOn w:val="DefaultParagraphFont"/>
    <w:link w:val="Heading2"/>
    <w:rsid w:val="00423ED3"/>
    <w:rPr>
      <w:rFonts w:ascii="Garamond" w:eastAsia="Times New Roman" w:hAnsi="Garamond" w:cs="Times New Roman"/>
      <w:b/>
      <w:bCs/>
      <w:color w:val="000000"/>
      <w:sz w:val="24"/>
    </w:rPr>
  </w:style>
  <w:style w:type="character" w:customStyle="1" w:styleId="Heading3Char">
    <w:name w:val="Heading 3 Char"/>
    <w:basedOn w:val="DefaultParagraphFont"/>
    <w:link w:val="Heading3"/>
    <w:rsid w:val="00423ED3"/>
    <w:rPr>
      <w:rFonts w:ascii="Garamond" w:eastAsia="Times New Roman" w:hAnsi="Garamond" w:cs="Times New Roman"/>
      <w:b/>
      <w:bCs/>
      <w:color w:val="000000"/>
      <w:sz w:val="32"/>
      <w:szCs w:val="40"/>
    </w:rPr>
  </w:style>
  <w:style w:type="character" w:customStyle="1" w:styleId="Heading4Char">
    <w:name w:val="Heading 4 Char"/>
    <w:basedOn w:val="DefaultParagraphFont"/>
    <w:link w:val="Heading4"/>
    <w:rsid w:val="00423ED3"/>
    <w:rPr>
      <w:rFonts w:ascii="Garamond" w:eastAsia="Times New Roman" w:hAnsi="Garamond" w:cs="Arial"/>
      <w:b/>
      <w:bCs/>
      <w:color w:val="000000"/>
      <w:sz w:val="24"/>
      <w:szCs w:val="19"/>
    </w:rPr>
  </w:style>
  <w:style w:type="character" w:customStyle="1" w:styleId="Heading5Char">
    <w:name w:val="Heading 5 Char"/>
    <w:basedOn w:val="DefaultParagraphFont"/>
    <w:link w:val="Heading5"/>
    <w:rsid w:val="00423ED3"/>
    <w:rPr>
      <w:rFonts w:ascii="Garamond" w:eastAsia="Times New Roman" w:hAnsi="Garamond" w:cs="Arial"/>
      <w:b/>
      <w:bCs/>
      <w:color w:val="000000"/>
      <w:sz w:val="24"/>
      <w:szCs w:val="19"/>
      <w:u w:val="double"/>
    </w:rPr>
  </w:style>
  <w:style w:type="character" w:customStyle="1" w:styleId="Heading6Char">
    <w:name w:val="Heading 6 Char"/>
    <w:basedOn w:val="DefaultParagraphFont"/>
    <w:link w:val="Heading6"/>
    <w:rsid w:val="00423ED3"/>
    <w:rPr>
      <w:rFonts w:ascii="Garamond" w:eastAsia="Times New Roman" w:hAnsi="Garamond" w:cs="Arial"/>
      <w:b/>
      <w:bCs/>
      <w:color w:val="000000"/>
      <w:sz w:val="24"/>
      <w:szCs w:val="19"/>
    </w:rPr>
  </w:style>
  <w:style w:type="character" w:customStyle="1" w:styleId="Heading7Char">
    <w:name w:val="Heading 7 Char"/>
    <w:basedOn w:val="DefaultParagraphFont"/>
    <w:link w:val="Heading7"/>
    <w:rsid w:val="00423ED3"/>
    <w:rPr>
      <w:rFonts w:ascii="Garamond" w:eastAsia="Times New Roman" w:hAnsi="Garamond" w:cs="Times New Roman"/>
      <w:b/>
      <w:bCs/>
      <w:sz w:val="24"/>
      <w:szCs w:val="19"/>
    </w:rPr>
  </w:style>
  <w:style w:type="character" w:customStyle="1" w:styleId="Heading8Char">
    <w:name w:val="Heading 8 Char"/>
    <w:basedOn w:val="DefaultParagraphFont"/>
    <w:link w:val="Heading8"/>
    <w:rsid w:val="00423ED3"/>
    <w:rPr>
      <w:rFonts w:ascii="Garamond" w:eastAsia="Times New Roman" w:hAnsi="Garamond" w:cs="Arial"/>
      <w:b/>
      <w:bCs/>
      <w:color w:val="000000"/>
      <w:szCs w:val="19"/>
    </w:rPr>
  </w:style>
  <w:style w:type="character" w:customStyle="1" w:styleId="Heading9Char">
    <w:name w:val="Heading 9 Char"/>
    <w:basedOn w:val="DefaultParagraphFont"/>
    <w:link w:val="Heading9"/>
    <w:rsid w:val="00423ED3"/>
    <w:rPr>
      <w:rFonts w:ascii="Garamond" w:eastAsia="Times New Roman" w:hAnsi="Garamond" w:cs="Times New Roman"/>
      <w:b/>
      <w:bCs/>
      <w:sz w:val="24"/>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4297</Words>
  <Characters>24498</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Bulvesta</dc:creator>
  <cp:lastModifiedBy>Bulvesta</cp:lastModifiedBy>
  <cp:revision>1</cp:revision>
  <dcterms:created xsi:type="dcterms:W3CDTF">2016-04-27T08:53:00Z</dcterms:created>
  <dcterms:modified xsi:type="dcterms:W3CDTF">2016-04-27T08:55:00Z</dcterms:modified>
</cp:coreProperties>
</file>