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7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8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09474D">
              <w:rPr>
                <w:b/>
                <w:sz w:val="22"/>
                <w:lang w:val="ru-RU"/>
              </w:rPr>
              <w:t>03.05.2022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09474D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69.7701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09474D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69.7701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09474D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69.7701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09474D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41 343 586.34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09474D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>Law On The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09474D">
              <w:rPr>
                <w:b/>
                <w:sz w:val="22"/>
                <w:lang w:val="en-US"/>
              </w:rPr>
              <w:t>03.05.2022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09474D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69.7701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09474D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69.7701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09474D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69.7701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09474D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41 343 586.34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09474D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74D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474D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ximbank.bg/am" TargetMode="External"/><Relationship Id="rId3" Type="http://schemas.openxmlformats.org/officeDocument/2006/relationships/styles" Target="styles.xml"/><Relationship Id="rId7" Type="http://schemas.openxmlformats.org/officeDocument/2006/relationships/hyperlink" Target="mailto:asset.management@teximbank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D63E8-3835-432F-9241-C04B46F3F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2022-05-04T06:57:00Z</dcterms:created>
  <dcterms:modified xsi:type="dcterms:W3CDTF">2022-05-04T06:57:00Z</dcterms:modified>
</cp:coreProperties>
</file>