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2B705E" w:rsidRPr="002B705E" w:rsidRDefault="002B705E" w:rsidP="002B705E">
      <w:pPr>
        <w:pStyle w:val="Default"/>
        <w:jc w:val="center"/>
        <w:rPr>
          <w:rFonts w:asciiTheme="minorHAnsi" w:hAnsiTheme="minorHAnsi" w:cstheme="minorHAnsi"/>
        </w:rPr>
      </w:pPr>
      <w:r w:rsidRPr="002B705E">
        <w:rPr>
          <w:rFonts w:asciiTheme="minorHAnsi" w:hAnsiTheme="minorHAnsi" w:cstheme="minorHAnsi"/>
          <w:b/>
          <w:bCs/>
        </w:rPr>
        <w:t>Представяне на вътрешна информация по чл. 7 от Регламент (ЕС) № 596/2014 на Европейския парламент и на Съвета от 16 април 2014 г. относно пазарната злоупотреба (Регламент относно пазарната злоуп</w:t>
      </w:r>
      <w:bookmarkStart w:id="0" w:name="_GoBack"/>
      <w:bookmarkEnd w:id="0"/>
      <w:r w:rsidRPr="002B705E">
        <w:rPr>
          <w:rFonts w:asciiTheme="minorHAnsi" w:hAnsiTheme="minorHAnsi" w:cstheme="minorHAnsi"/>
          <w:b/>
          <w:bCs/>
        </w:rPr>
        <w:t>отреба) и за отмяна на Директива 2003/6/ЕО на Европейския парламент и на Съвета и директиви 2003/124/ЕО, 2003/125/ЕО и 2004/72/ЕО на Комисията (ОВ L 173/1 от 12.06.2014 г.) (Регламент № 596/2014) относно обстоятелствата, настъпили през изтеклото тримесечие</w:t>
      </w:r>
    </w:p>
    <w:p w:rsidR="00EB7FCE" w:rsidRPr="00E267F6" w:rsidRDefault="00EB7FCE" w:rsidP="00CB6221">
      <w:pPr>
        <w:pStyle w:val="BodyText"/>
        <w:spacing w:before="90"/>
        <w:ind w:right="93"/>
        <w:rPr>
          <w:rFonts w:asciiTheme="minorHAnsi" w:hAnsiTheme="minorHAnsi" w:cstheme="minorHAnsi"/>
        </w:rPr>
      </w:pP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</w:rPr>
      </w:pPr>
    </w:p>
    <w:p w:rsidR="00EB7FCE" w:rsidRPr="002B705E" w:rsidRDefault="002B705E" w:rsidP="002B705E">
      <w:pPr>
        <w:ind w:right="93"/>
        <w:jc w:val="both"/>
        <w:rPr>
          <w:rFonts w:asciiTheme="minorHAnsi" w:hAnsiTheme="minorHAnsi" w:cstheme="minorHAnsi"/>
          <w:sz w:val="24"/>
          <w:szCs w:val="24"/>
        </w:rPr>
      </w:pPr>
      <w:r w:rsidRPr="002B705E">
        <w:rPr>
          <w:rFonts w:asciiTheme="minorHAnsi" w:hAnsiTheme="minorHAnsi" w:cstheme="minorHAnsi"/>
          <w:sz w:val="24"/>
          <w:szCs w:val="24"/>
        </w:rPr>
        <w:t xml:space="preserve">През </w:t>
      </w:r>
      <w:r w:rsidRPr="002B705E">
        <w:rPr>
          <w:rFonts w:asciiTheme="minorHAnsi" w:hAnsiTheme="minorHAnsi" w:cstheme="minorHAnsi"/>
          <w:sz w:val="24"/>
          <w:szCs w:val="24"/>
        </w:rPr>
        <w:t>четвъртото</w:t>
      </w:r>
      <w:r w:rsidRPr="002B705E">
        <w:rPr>
          <w:rFonts w:asciiTheme="minorHAnsi" w:hAnsiTheme="minorHAnsi" w:cstheme="minorHAnsi"/>
          <w:sz w:val="24"/>
          <w:szCs w:val="24"/>
        </w:rPr>
        <w:t xml:space="preserve"> тримесечие на 2020 г. не са настъпили обстоятелства, които не са публично оповестени от Дружеството и могат да се считат за вътрешна информация. Всички значими събития, които могат да бъдат от значение за инвеститорите, настъпили през четвъртото тримесечие на 2020 г. са описани в документите съставляващи финансовия отчет на Дружеството за четвърто</w:t>
      </w:r>
      <w:r>
        <w:rPr>
          <w:rFonts w:asciiTheme="minorHAnsi" w:hAnsiTheme="minorHAnsi" w:cstheme="minorHAnsi"/>
          <w:sz w:val="24"/>
          <w:szCs w:val="24"/>
        </w:rPr>
        <w:t>то</w:t>
      </w:r>
      <w:r w:rsidRPr="002B705E">
        <w:rPr>
          <w:rFonts w:asciiTheme="minorHAnsi" w:hAnsiTheme="minorHAnsi" w:cstheme="minorHAnsi"/>
          <w:sz w:val="24"/>
          <w:szCs w:val="24"/>
        </w:rPr>
        <w:t xml:space="preserve"> тримесечие на 2020 г.</w:t>
      </w:r>
    </w:p>
    <w:p w:rsidR="00E267F6" w:rsidRDefault="00E267F6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</w:p>
    <w:p w:rsidR="00E267F6" w:rsidRDefault="00D167E2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  <w:r w:rsidRPr="00E267F6">
        <w:rPr>
          <w:rFonts w:asciiTheme="minorHAnsi" w:hAnsiTheme="minorHAnsi" w:cstheme="minorHAnsi"/>
          <w:sz w:val="24"/>
          <w:szCs w:val="24"/>
        </w:rPr>
        <w:t>Иван Димитров Пирински</w:t>
      </w:r>
      <w:r w:rsidR="00E267F6" w:rsidRPr="00E267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7FCE" w:rsidRPr="00E267F6" w:rsidRDefault="00E267F6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  <w:r w:rsidRPr="00E267F6">
        <w:rPr>
          <w:rFonts w:asciiTheme="minorHAnsi" w:hAnsiTheme="minorHAnsi" w:cstheme="minorHAnsi"/>
          <w:sz w:val="24"/>
          <w:szCs w:val="24"/>
        </w:rPr>
        <w:t>Изпълнителен Директор</w:t>
      </w:r>
    </w:p>
    <w:p w:rsidR="00EB7FCE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AA1055" w:rsidRPr="002B705E" w:rsidRDefault="00AA1055" w:rsidP="00CB6221">
      <w:pPr>
        <w:pStyle w:val="BodyText"/>
        <w:rPr>
          <w:rFonts w:asciiTheme="minorHAnsi" w:hAnsiTheme="minorHAnsi" w:cstheme="minorHAnsi"/>
          <w:b w:val="0"/>
        </w:rPr>
      </w:pPr>
    </w:p>
    <w:p w:rsidR="002B705E" w:rsidRPr="002B705E" w:rsidRDefault="002B705E" w:rsidP="00AA1055">
      <w:pPr>
        <w:pStyle w:val="BodyText"/>
        <w:rPr>
          <w:rFonts w:asciiTheme="minorHAnsi" w:hAnsiTheme="minorHAnsi" w:cstheme="minorHAnsi"/>
        </w:rPr>
      </w:pPr>
    </w:p>
    <w:p w:rsidR="00EB7FCE" w:rsidRPr="002B705E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spacing w:before="8"/>
        <w:rPr>
          <w:b w:val="0"/>
          <w:sz w:val="23"/>
        </w:rPr>
      </w:pPr>
    </w:p>
    <w:sectPr w:rsidR="00EB7FCE" w:rsidSect="009E176E">
      <w:headerReference w:type="default" r:id="rId6"/>
      <w:footerReference w:type="default" r:id="rId7"/>
      <w:type w:val="continuous"/>
      <w:pgSz w:w="11910" w:h="16840"/>
      <w:pgMar w:top="720" w:right="740" w:bottom="280" w:left="11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87" w:rsidRDefault="005F0787" w:rsidP="009E176E">
      <w:r>
        <w:separator/>
      </w:r>
    </w:p>
  </w:endnote>
  <w:endnote w:type="continuationSeparator" w:id="0">
    <w:p w:rsidR="005F0787" w:rsidRDefault="005F0787" w:rsidP="009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366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76E" w:rsidRDefault="009E176E" w:rsidP="0043469C">
        <w:pPr>
          <w:pStyle w:val="Footer"/>
          <w:pBdr>
            <w:top w:val="single" w:sz="4" w:space="1" w:color="auto"/>
          </w:pBdr>
          <w:jc w:val="right"/>
        </w:pPr>
        <w:r w:rsidRPr="00441C7A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441C7A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441C7A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2B705E">
          <w:rPr>
            <w:rFonts w:asciiTheme="minorHAnsi" w:hAnsiTheme="minorHAnsi" w:cstheme="minorHAnsi"/>
            <w:b/>
            <w:noProof/>
            <w:sz w:val="18"/>
            <w:szCs w:val="18"/>
          </w:rPr>
          <w:t>1</w:t>
        </w:r>
        <w:r w:rsidRPr="00441C7A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:rsidR="009E176E" w:rsidRDefault="009E1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87" w:rsidRDefault="005F0787" w:rsidP="009E176E">
      <w:r>
        <w:separator/>
      </w:r>
    </w:p>
  </w:footnote>
  <w:footnote w:type="continuationSeparator" w:id="0">
    <w:p w:rsidR="005F0787" w:rsidRDefault="005F0787" w:rsidP="009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6E" w:rsidRPr="009E176E" w:rsidRDefault="009E176E" w:rsidP="009E176E">
    <w:pPr>
      <w:pStyle w:val="Header"/>
      <w:rPr>
        <w:rFonts w:asciiTheme="minorHAnsi" w:hAnsiTheme="minorHAnsi" w:cstheme="minorHAnsi"/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Компас Фонд за вземания АДСИЦ</w:t>
    </w:r>
  </w:p>
  <w:p w:rsidR="009E176E" w:rsidRPr="009E176E" w:rsidRDefault="009E176E" w:rsidP="009E176E">
    <w:pPr>
      <w:pStyle w:val="Header"/>
      <w:rPr>
        <w:rFonts w:asciiTheme="minorHAnsi" w:hAnsiTheme="minorHAnsi" w:cstheme="minorHAnsi"/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Вътрешна информация към 3</w:t>
    </w:r>
    <w:r w:rsidR="008A0420">
      <w:rPr>
        <w:rFonts w:asciiTheme="minorHAnsi" w:hAnsiTheme="minorHAnsi" w:cstheme="minorHAnsi"/>
        <w:sz w:val="18"/>
        <w:szCs w:val="18"/>
      </w:rPr>
      <w:t>1</w:t>
    </w:r>
    <w:r w:rsidRPr="009E176E">
      <w:rPr>
        <w:rFonts w:asciiTheme="minorHAnsi" w:hAnsiTheme="minorHAnsi" w:cstheme="minorHAnsi"/>
        <w:sz w:val="18"/>
        <w:szCs w:val="18"/>
      </w:rPr>
      <w:t>.</w:t>
    </w:r>
    <w:r w:rsidR="008A0420">
      <w:rPr>
        <w:rFonts w:asciiTheme="minorHAnsi" w:hAnsiTheme="minorHAnsi" w:cstheme="minorHAnsi"/>
        <w:sz w:val="18"/>
        <w:szCs w:val="18"/>
      </w:rPr>
      <w:t>12</w:t>
    </w:r>
    <w:r w:rsidRPr="009E176E">
      <w:rPr>
        <w:rFonts w:asciiTheme="minorHAnsi" w:hAnsiTheme="minorHAnsi" w:cstheme="minorHAnsi"/>
        <w:sz w:val="18"/>
        <w:szCs w:val="18"/>
      </w:rPr>
      <w:t xml:space="preserve">.2020 г. </w:t>
    </w:r>
  </w:p>
  <w:p w:rsidR="009E176E" w:rsidRPr="009E176E" w:rsidRDefault="009E176E" w:rsidP="0043469C">
    <w:pPr>
      <w:pStyle w:val="Header"/>
      <w:pBdr>
        <w:bottom w:val="single" w:sz="4" w:space="1" w:color="auto"/>
      </w:pBdr>
      <w:rPr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по чл.7 от Регламент (ЕС) № 596/2014)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7FCE"/>
    <w:rsid w:val="00056A73"/>
    <w:rsid w:val="0020249A"/>
    <w:rsid w:val="002B705E"/>
    <w:rsid w:val="00344477"/>
    <w:rsid w:val="0043469C"/>
    <w:rsid w:val="00441C7A"/>
    <w:rsid w:val="005572C6"/>
    <w:rsid w:val="005F0787"/>
    <w:rsid w:val="007F0D67"/>
    <w:rsid w:val="00820FA1"/>
    <w:rsid w:val="008A0420"/>
    <w:rsid w:val="009E176E"/>
    <w:rsid w:val="00AA1055"/>
    <w:rsid w:val="00C20B1A"/>
    <w:rsid w:val="00C75E39"/>
    <w:rsid w:val="00CB6221"/>
    <w:rsid w:val="00D167E2"/>
    <w:rsid w:val="00D754F4"/>
    <w:rsid w:val="00E267F6"/>
    <w:rsid w:val="00E9332F"/>
    <w:rsid w:val="00EB7FCE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AEA3E"/>
  <w15:docId w15:val="{46B5984A-BFAB-4DFC-8652-381B059F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140" w:right="696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17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6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E17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6E"/>
    <w:rPr>
      <w:rFonts w:ascii="Times New Roman" w:eastAsia="Times New Roman" w:hAnsi="Times New Roman" w:cs="Times New Roman"/>
      <w:lang w:val="bg-BG"/>
    </w:rPr>
  </w:style>
  <w:style w:type="paragraph" w:customStyle="1" w:styleId="Default">
    <w:name w:val="Default"/>
    <w:rsid w:val="00AA1055"/>
    <w:pPr>
      <w:widowControl/>
      <w:adjustRightInd w:val="0"/>
    </w:pPr>
    <w:rPr>
      <w:rFonts w:ascii="Calibri" w:hAnsi="Calibri" w:cs="Calibri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Predator</cp:lastModifiedBy>
  <cp:revision>14</cp:revision>
  <dcterms:created xsi:type="dcterms:W3CDTF">2020-08-15T14:59:00Z</dcterms:created>
  <dcterms:modified xsi:type="dcterms:W3CDTF">2021-01-22T06:20:00Z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